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F65B" w14:textId="77777777" w:rsidR="000170FE" w:rsidRPr="000170FE" w:rsidRDefault="000170FE" w:rsidP="000170FE">
      <w:pPr>
        <w:pBdr>
          <w:top w:val="single" w:sz="4" w:space="1" w:color="auto"/>
          <w:left w:val="single" w:sz="4" w:space="4" w:color="auto"/>
          <w:bottom w:val="single" w:sz="4" w:space="1" w:color="auto"/>
          <w:right w:val="single" w:sz="4" w:space="4" w:color="auto"/>
        </w:pBdr>
        <w:jc w:val="center"/>
        <w:rPr>
          <w:rFonts w:ascii="Calibri Light" w:hAnsi="Calibri Light" w:cs="Calibri Light"/>
          <w:b/>
          <w:bCs/>
          <w:sz w:val="22"/>
          <w:szCs w:val="22"/>
        </w:rPr>
      </w:pPr>
      <w:r w:rsidRPr="000170FE">
        <w:rPr>
          <w:rFonts w:ascii="Calibri Light" w:hAnsi="Calibri Light" w:cs="Calibri Light"/>
          <w:b/>
          <w:bCs/>
          <w:sz w:val="22"/>
          <w:szCs w:val="22"/>
        </w:rPr>
        <w:t>L’Interprétation (I) de la Cour suprême populaire relative à l’application du chapitre relatif au mariage et à la famille du Code civil de la République populaire de Chine a été adoptée lors de la 1825e séance du Comité judiciaire de la Cour suprême populaire, le 25 décembre 2020, et est promulguée par la présente, avec effet au 1er janvier 2021.</w:t>
      </w:r>
    </w:p>
    <w:p w14:paraId="0A774CAC" w14:textId="77777777" w:rsidR="000170FE" w:rsidRPr="000170FE" w:rsidRDefault="000170FE" w:rsidP="000170FE">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0170FE">
        <w:rPr>
          <w:rFonts w:ascii="Calibri Light" w:hAnsi="Calibri Light" w:cs="Calibri Light"/>
          <w:sz w:val="22"/>
          <w:szCs w:val="22"/>
        </w:rPr>
        <w:t>Cour suprême populaire</w:t>
      </w:r>
    </w:p>
    <w:p w14:paraId="2EB9FB17" w14:textId="77777777" w:rsidR="000170FE" w:rsidRPr="000170FE" w:rsidRDefault="000170FE" w:rsidP="000170FE">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0170FE">
        <w:rPr>
          <w:rFonts w:ascii="Calibri Light" w:hAnsi="Calibri Light" w:cs="Calibri Light"/>
          <w:sz w:val="22"/>
          <w:szCs w:val="22"/>
        </w:rPr>
        <w:t>29 décembre 2020</w:t>
      </w:r>
    </w:p>
    <w:p w14:paraId="1C3B9A41" w14:textId="77777777" w:rsidR="000170FE" w:rsidRPr="000170FE" w:rsidRDefault="000170FE" w:rsidP="000170FE">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0170FE">
        <w:rPr>
          <w:rFonts w:ascii="Calibri Light" w:hAnsi="Calibri Light" w:cs="Calibri Light"/>
          <w:sz w:val="22"/>
          <w:szCs w:val="22"/>
        </w:rPr>
        <w:t>Fa Shi [2020] n° 22</w:t>
      </w:r>
    </w:p>
    <w:p w14:paraId="5CDC4897" w14:textId="77777777" w:rsidR="000170FE" w:rsidRPr="000170FE" w:rsidRDefault="000170FE" w:rsidP="000170FE">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0170FE">
        <w:rPr>
          <w:rFonts w:ascii="Calibri Light" w:hAnsi="Calibri Light" w:cs="Calibri Light"/>
          <w:sz w:val="22"/>
          <w:szCs w:val="22"/>
        </w:rPr>
        <w:t>Interprétation (I) de la Cour suprême populaire relative à l’application du chapitre relatif au mariage et à la famille du Code civil de la République populaire de Chine</w:t>
      </w:r>
    </w:p>
    <w:p w14:paraId="7DCD5220" w14:textId="77777777" w:rsidR="000170FE" w:rsidRPr="000170FE" w:rsidRDefault="000170FE" w:rsidP="000170FE">
      <w:pPr>
        <w:pBdr>
          <w:top w:val="single" w:sz="4" w:space="1" w:color="auto"/>
          <w:left w:val="single" w:sz="4" w:space="4" w:color="auto"/>
          <w:bottom w:val="single" w:sz="4" w:space="1" w:color="auto"/>
          <w:right w:val="single" w:sz="4" w:space="4" w:color="auto"/>
        </w:pBdr>
        <w:jc w:val="center"/>
        <w:rPr>
          <w:rFonts w:ascii="Calibri Light" w:hAnsi="Calibri Light" w:cs="Calibri Light"/>
          <w:sz w:val="22"/>
          <w:szCs w:val="22"/>
        </w:rPr>
      </w:pPr>
      <w:r w:rsidRPr="000170FE">
        <w:rPr>
          <w:rFonts w:ascii="Calibri Light" w:hAnsi="Calibri Light" w:cs="Calibri Light"/>
          <w:sz w:val="22"/>
          <w:szCs w:val="22"/>
        </w:rPr>
        <w:t>(Adoptée lors de la 1825e séance du Comité judiciaire de la Cour suprême populaire, le 25 décembre 2020, avec effet au 1er janvier 2021)</w:t>
      </w:r>
    </w:p>
    <w:p w14:paraId="48D48F62" w14:textId="77777777" w:rsidR="000170FE" w:rsidRPr="000170FE" w:rsidRDefault="000170FE" w:rsidP="000170FE">
      <w:pPr>
        <w:pBdr>
          <w:top w:val="single" w:sz="4" w:space="1" w:color="auto"/>
          <w:left w:val="single" w:sz="4" w:space="4" w:color="auto"/>
          <w:bottom w:val="single" w:sz="4" w:space="1" w:color="auto"/>
          <w:right w:val="single" w:sz="4" w:space="4" w:color="auto"/>
        </w:pBdr>
        <w:jc w:val="both"/>
        <w:rPr>
          <w:rFonts w:ascii="Calibri Light" w:hAnsi="Calibri Light" w:cs="Calibri Light"/>
          <w:sz w:val="22"/>
          <w:szCs w:val="22"/>
        </w:rPr>
      </w:pPr>
    </w:p>
    <w:p w14:paraId="1D8D82E3" w14:textId="77777777" w:rsidR="000170FE" w:rsidRPr="000170FE" w:rsidRDefault="000170FE" w:rsidP="000170FE">
      <w:pPr>
        <w:pBdr>
          <w:top w:val="single" w:sz="4" w:space="1" w:color="auto"/>
          <w:left w:val="single" w:sz="4" w:space="4" w:color="auto"/>
          <w:bottom w:val="single" w:sz="4" w:space="1" w:color="auto"/>
          <w:right w:val="single" w:sz="4" w:space="4" w:color="auto"/>
        </w:pBdr>
        <w:jc w:val="both"/>
        <w:rPr>
          <w:rFonts w:ascii="Calibri Light" w:hAnsi="Calibri Light" w:cs="Calibri Light"/>
          <w:sz w:val="22"/>
          <w:szCs w:val="22"/>
        </w:rPr>
      </w:pPr>
      <w:r w:rsidRPr="000170FE">
        <w:rPr>
          <w:rFonts w:ascii="Calibri Light" w:hAnsi="Calibri Light" w:cs="Calibri Light"/>
          <w:sz w:val="22"/>
          <w:szCs w:val="22"/>
        </w:rPr>
        <w:t>Cette interprétation est formulée conformément aux dispositions pertinentes du Code civil de la République populaire de Chine et du Code de procédure civile. Conformément à la loi de la République populaire de Chine et aux autres lois pertinentes, ainsi qu'à la jurisprudence, afin de statuer correctement sur les litiges matrimoniaux et familiaux.</w:t>
      </w:r>
    </w:p>
    <w:p w14:paraId="58E30199" w14:textId="77777777" w:rsidR="000170FE" w:rsidRPr="000170FE" w:rsidRDefault="000170FE" w:rsidP="000170FE">
      <w:pPr>
        <w:jc w:val="both"/>
        <w:rPr>
          <w:rFonts w:ascii="Calibri Light" w:hAnsi="Calibri Light" w:cs="Calibri Light"/>
          <w:sz w:val="22"/>
          <w:szCs w:val="22"/>
        </w:rPr>
      </w:pPr>
    </w:p>
    <w:p w14:paraId="17C14132" w14:textId="77777777" w:rsidR="000170FE" w:rsidRPr="000170FE" w:rsidRDefault="000170FE" w:rsidP="000170FE">
      <w:pPr>
        <w:jc w:val="both"/>
        <w:rPr>
          <w:rFonts w:ascii="Calibri Light" w:hAnsi="Calibri Light" w:cs="Calibri Light"/>
          <w:b/>
          <w:bCs/>
          <w:sz w:val="22"/>
          <w:szCs w:val="22"/>
        </w:rPr>
      </w:pPr>
      <w:r w:rsidRPr="000170FE">
        <w:rPr>
          <w:rFonts w:ascii="Calibri Light" w:hAnsi="Calibri Light" w:cs="Calibri Light"/>
          <w:b/>
          <w:bCs/>
          <w:sz w:val="22"/>
          <w:szCs w:val="22"/>
        </w:rPr>
        <w:t>I. Dispositions générales</w:t>
      </w:r>
    </w:p>
    <w:p w14:paraId="6BEEE33E" w14:textId="77777777" w:rsidR="000170FE" w:rsidRPr="000170FE" w:rsidRDefault="000170FE" w:rsidP="000170FE">
      <w:pPr>
        <w:jc w:val="both"/>
        <w:rPr>
          <w:rFonts w:ascii="Calibri Light" w:hAnsi="Calibri Light" w:cs="Calibri Light"/>
          <w:sz w:val="22"/>
          <w:szCs w:val="22"/>
        </w:rPr>
      </w:pPr>
    </w:p>
    <w:p w14:paraId="4690B7AF"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1. Les violences conjugales continues et fréquentes peuvent être considérées comme des « abus » au sens des articles 1042, 1079 et 1091 du Code civil.</w:t>
      </w:r>
    </w:p>
    <w:p w14:paraId="38E39FA6" w14:textId="77777777" w:rsidR="000170FE" w:rsidRPr="000170FE" w:rsidRDefault="000170FE" w:rsidP="000170FE">
      <w:pPr>
        <w:jc w:val="both"/>
        <w:rPr>
          <w:rFonts w:ascii="Calibri Light" w:hAnsi="Calibri Light" w:cs="Calibri Light"/>
          <w:sz w:val="22"/>
          <w:szCs w:val="22"/>
        </w:rPr>
      </w:pPr>
    </w:p>
    <w:p w14:paraId="0F706C70"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 La situation de « cohabitation avec une autre personne » visée aux articles 1042, 1079 et 1091 du Code civil désigne la situation où une personne mariée et une personne de sexe opposé vivent ensemble de manière continue et stable, sans être unies par les liens du mariage.</w:t>
      </w:r>
    </w:p>
    <w:p w14:paraId="66FCC2F3" w14:textId="77777777" w:rsidR="000170FE" w:rsidRPr="000170FE" w:rsidRDefault="000170FE" w:rsidP="000170FE">
      <w:pPr>
        <w:jc w:val="both"/>
        <w:rPr>
          <w:rFonts w:ascii="Calibri Light" w:hAnsi="Calibri Light" w:cs="Calibri Light"/>
          <w:sz w:val="22"/>
          <w:szCs w:val="22"/>
        </w:rPr>
      </w:pPr>
    </w:p>
    <w:p w14:paraId="09CFE24F"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 Si une partie intente une action en justice visant uniquement à obtenir la dissolution d'une relation de cohabitation, le Tribunal populaire ne peut accepter la demande ; si elle a déjà été acceptée, le tribunal prononce son rejet.</w:t>
      </w:r>
    </w:p>
    <w:p w14:paraId="0729B81C" w14:textId="77777777" w:rsidR="000170FE" w:rsidRPr="000170FE" w:rsidRDefault="000170FE" w:rsidP="000170FE">
      <w:pPr>
        <w:jc w:val="both"/>
        <w:rPr>
          <w:rFonts w:ascii="Calibri Light" w:hAnsi="Calibri Light" w:cs="Calibri Light"/>
          <w:sz w:val="22"/>
          <w:szCs w:val="22"/>
        </w:rPr>
      </w:pPr>
    </w:p>
    <w:p w14:paraId="6688C19E"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 Si une partie intente une action uniquement sur le fondement de l'article 1043 du Code civil, le Tribunal populaire ne pourra pas accepter l'affaire ; si elle a déjà été acceptée, le tribunal prononcera le rejet de l'action.</w:t>
      </w:r>
    </w:p>
    <w:p w14:paraId="2778B420" w14:textId="77777777" w:rsidR="000170FE" w:rsidRPr="000170FE" w:rsidRDefault="000170FE" w:rsidP="000170FE">
      <w:pPr>
        <w:jc w:val="both"/>
        <w:rPr>
          <w:rFonts w:ascii="Calibri Light" w:hAnsi="Calibri Light" w:cs="Calibri Light"/>
          <w:sz w:val="22"/>
          <w:szCs w:val="22"/>
        </w:rPr>
      </w:pPr>
    </w:p>
    <w:p w14:paraId="5CA2EE6A"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 xml:space="preserve">Article 5. Si une partie intente une action uniquement sur le fondement de l'article 1043 du Code civil, le Tribunal populaire ne pourra pas accepter l'affaire ; si elle a déjà été acceptée, le tribunal prononcera le rejet de l'action. Article 6. Si une partie demande la restitution de cadeaux de fiançailles offerts selon </w:t>
      </w:r>
      <w:r w:rsidRPr="000170FE">
        <w:rPr>
          <w:rFonts w:ascii="Calibri Light" w:hAnsi="Calibri Light" w:cs="Calibri Light"/>
          <w:sz w:val="22"/>
          <w:szCs w:val="22"/>
        </w:rPr>
        <w:lastRenderedPageBreak/>
        <w:t>la coutume, le Tribunal populaire fera droit à sa demande s'il est établi que l'une des circonstances suivantes est présente :</w:t>
      </w:r>
    </w:p>
    <w:p w14:paraId="515183C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(1) Les parties ne sont pas mariées ;</w:t>
      </w:r>
    </w:p>
    <w:p w14:paraId="13CE35A5"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(2) Les parties sont mariées mais ne vivent pas ensemble ;</w:t>
      </w:r>
    </w:p>
    <w:p w14:paraId="5DFFAD1B"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(3) Le cadeau prénuptial a causé un préjudice financier au donateur.</w:t>
      </w:r>
    </w:p>
    <w:p w14:paraId="18EF1340"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Les dispositions des points (2) et (3) du paragraphe précédent ne s'appliquent qu'en cas de divorce.</w:t>
      </w:r>
    </w:p>
    <w:p w14:paraId="26C24429" w14:textId="77777777" w:rsidR="000170FE" w:rsidRPr="000170FE" w:rsidRDefault="000170FE" w:rsidP="000170FE">
      <w:pPr>
        <w:jc w:val="both"/>
        <w:rPr>
          <w:rFonts w:ascii="Calibri Light" w:hAnsi="Calibri Light" w:cs="Calibri Light"/>
          <w:sz w:val="22"/>
          <w:szCs w:val="22"/>
        </w:rPr>
      </w:pPr>
    </w:p>
    <w:p w14:paraId="05BD9E6F" w14:textId="77777777" w:rsidR="000170FE" w:rsidRPr="000170FE" w:rsidRDefault="000170FE" w:rsidP="000170FE">
      <w:pPr>
        <w:jc w:val="both"/>
        <w:rPr>
          <w:rFonts w:ascii="Calibri Light" w:hAnsi="Calibri Light" w:cs="Calibri Light"/>
          <w:b/>
          <w:bCs/>
          <w:sz w:val="22"/>
          <w:szCs w:val="22"/>
        </w:rPr>
      </w:pPr>
      <w:r w:rsidRPr="000170FE">
        <w:rPr>
          <w:rFonts w:ascii="Calibri Light" w:hAnsi="Calibri Light" w:cs="Calibri Light"/>
          <w:b/>
          <w:bCs/>
          <w:sz w:val="22"/>
          <w:szCs w:val="22"/>
        </w:rPr>
        <w:t>II. Mariage</w:t>
      </w:r>
    </w:p>
    <w:p w14:paraId="2E74961D"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6 Si les deux parties procèdent à l'enregistrement de leur mariage conformément à l'article 1049 du Code civil, la validité du mariage prend effet à la date à laquelle les deux parties remplissent les conditions de fond du mariage prévues par le Code civil.</w:t>
      </w:r>
    </w:p>
    <w:p w14:paraId="7458E12E"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7 Si un homme et une femme ayant vécu ensemble comme mari et femme sans avoir fait enregistrer leur mariage conformément à l'article 1049 du Code civil engagent une procédure de divorce, les distinctions suivantes sont appliquées :</w:t>
      </w:r>
    </w:p>
    <w:p w14:paraId="3D46D2D3"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(1) Si, avant la promulgation et l'entrée en vigueur du « Règlement relatif à la gestion de l'enregistrement des mariages » du ministère des Affaires civiles le 1er février 1994, les deux parties remplissaient déjà les conditions de fond du mariage, il s'agit d'un mariage de fait. (2) Après la promulgation et l'entrée en vigueur du « Règlement relatif à la gestion de l'enregistrement des mariages » du ministère des Affaires civiles le 1er février 1994, si les deux parties remplissent les conditions de fond du mariage, le tribunal populaire les enjoint de procéder à l'enregistrement de leur mariage rétroactivement. Si l'enregistrement du mariage n'est pas effectué rétroactivement, il sera traité conformément à l'article 3 de la présente interprétation.</w:t>
      </w:r>
    </w:p>
    <w:p w14:paraId="2471F35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8. Si un homme et une femme vivent ensemble comme mari et femme sans avoir fait enregistrer leur mariage conformément à l'article 1049 du Code civil, et que l'un des conjoints décède, l'autre, en tant que conjoint survivant, revendique des droits successoraux, il sera traité conformément aux principes énoncés à l'article 7 de la présente interprétation.</w:t>
      </w:r>
    </w:p>
    <w:p w14:paraId="52FFACA6"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9. Les personnes habilitées à demander au Tribunal populaire de constater la nullité d'un mariage déjà enregistré conformément à l'article 1051 du Code civil comprennent les époux et les parties intéressées. Sont notamment considérées comme parties intéressées :</w:t>
      </w:r>
    </w:p>
    <w:p w14:paraId="5527F811"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(I) En cas de bigamie, les proches parents des époux et les organisations de base ;</w:t>
      </w:r>
    </w:p>
    <w:p w14:paraId="1E8E1946"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(II) En cas de minorité conjugale, les proches parents de la personne mineure ;</w:t>
      </w:r>
    </w:p>
    <w:p w14:paraId="751DF4C6"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(III) En cas de lien de parenté prohibé, les proches parents des époux.</w:t>
      </w:r>
    </w:p>
    <w:p w14:paraId="1944359C" w14:textId="77777777" w:rsidR="000170FE" w:rsidRPr="000170FE" w:rsidRDefault="000170FE" w:rsidP="000170FE">
      <w:pPr>
        <w:jc w:val="both"/>
        <w:rPr>
          <w:rFonts w:ascii="Calibri Light" w:hAnsi="Calibri Light" w:cs="Calibri Light"/>
          <w:sz w:val="22"/>
          <w:szCs w:val="22"/>
        </w:rPr>
      </w:pPr>
    </w:p>
    <w:p w14:paraId="68C967E1"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10. Si une partie demande à un tribunal populaire de constater la nullité d'un mariage en application de l'article 1051 du Code civil, et que les motifs de nullité prévus par la loi ont cessé d'exister au moment de l'introduction de l'instance, le tribunal populaire ne fera pas droit à cette demande.</w:t>
      </w:r>
    </w:p>
    <w:p w14:paraId="11A30426" w14:textId="77777777" w:rsidR="000170FE" w:rsidRPr="000170FE" w:rsidRDefault="000170FE" w:rsidP="000170FE">
      <w:pPr>
        <w:jc w:val="both"/>
        <w:rPr>
          <w:rFonts w:ascii="Calibri Light" w:hAnsi="Calibri Light" w:cs="Calibri Light"/>
          <w:sz w:val="22"/>
          <w:szCs w:val="22"/>
        </w:rPr>
      </w:pPr>
    </w:p>
    <w:p w14:paraId="35E2DE60"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lastRenderedPageBreak/>
        <w:t>Article 11. Si le demandeur souhaite se désister de l'instance après avoir accepté une demande de constatation de nullité de mariage, le tribunal populaire ne fera pas droit à ce désistement.</w:t>
      </w:r>
    </w:p>
    <w:p w14:paraId="6EC76EF8"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La médiation n'est pas applicable à la détermination de la validité d'un mariage ; un jugement sera rendu conformément à la loi.</w:t>
      </w:r>
    </w:p>
    <w:p w14:paraId="33ACDF92"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La médiation peut être utilisée dans les affaires relatives au partage des biens et à la garde des enfants. Si un accord de médiation est conclu, un procès-verbal de médiation distinct sera établi ; à défaut d'accord, le jugement sera rendu conjointement au jugement initial.</w:t>
      </w:r>
    </w:p>
    <w:p w14:paraId="0A09C261" w14:textId="77777777" w:rsidR="000170FE" w:rsidRPr="000170FE" w:rsidRDefault="000170FE" w:rsidP="000170FE">
      <w:pPr>
        <w:jc w:val="both"/>
        <w:rPr>
          <w:rFonts w:ascii="Calibri Light" w:hAnsi="Calibri Light" w:cs="Calibri Light"/>
          <w:sz w:val="22"/>
          <w:szCs w:val="22"/>
        </w:rPr>
      </w:pPr>
    </w:p>
    <w:p w14:paraId="3372AAA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12. Après avoir accepté une demande de divorce, si le tribunal populaire, après examen du dossier, constate la nullité du mariage, il en informe les parties en précisant les motifs et prononce le jugement de nullité conformément à la loi.</w:t>
      </w:r>
    </w:p>
    <w:p w14:paraId="022FAC97" w14:textId="77777777" w:rsidR="000170FE" w:rsidRDefault="000170FE" w:rsidP="000170FE">
      <w:pPr>
        <w:jc w:val="both"/>
        <w:rPr>
          <w:rFonts w:ascii="Calibri Light" w:hAnsi="Calibri Light" w:cs="Calibri Light"/>
          <w:sz w:val="22"/>
          <w:szCs w:val="22"/>
        </w:rPr>
      </w:pPr>
    </w:p>
    <w:p w14:paraId="770B8528" w14:textId="156FEEFA"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13. Si un tribunal populaire accepte simultanément une demande de divorce et une demande de constatation de nullité de mariage concernant le même lien matrimonial, le jugement en divorce est rendu après le prononcé du jugement en constatation de nullité.</w:t>
      </w:r>
    </w:p>
    <w:p w14:paraId="10005488" w14:textId="77777777" w:rsidR="000170FE" w:rsidRPr="000170FE" w:rsidRDefault="000170FE" w:rsidP="000170FE">
      <w:pPr>
        <w:jc w:val="both"/>
        <w:rPr>
          <w:rFonts w:ascii="Calibri Light" w:hAnsi="Calibri Light" w:cs="Calibri Light"/>
          <w:sz w:val="22"/>
          <w:szCs w:val="22"/>
        </w:rPr>
      </w:pPr>
    </w:p>
    <w:p w14:paraId="77B7A8C4"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14. Si, après le décès de l'un ou des deux époux, le conjoint survivant ou une personne intéressée demande la constatation de la nullité du mariage en application de l'article 1051 du Code civil, le tribunal populaire est tenu d'accepter la demande. Article 15. Lorsqu'une personne intéressée demande au tribunal populaire de constater la nullité d'un mariage en application de l'article 1051 du Code civil, elle est la demanderesse et les deux époux sont les défendeurs.</w:t>
      </w:r>
    </w:p>
    <w:p w14:paraId="2DC8214B"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En cas de décès de l'un des époux, le conjoint survivant est le défendeur.</w:t>
      </w:r>
    </w:p>
    <w:p w14:paraId="71B1F2BD" w14:textId="77777777" w:rsidR="000170FE" w:rsidRPr="000170FE" w:rsidRDefault="000170FE" w:rsidP="000170FE">
      <w:pPr>
        <w:jc w:val="both"/>
        <w:rPr>
          <w:rFonts w:ascii="Calibri Light" w:hAnsi="Calibri Light" w:cs="Calibri Light"/>
          <w:sz w:val="22"/>
          <w:szCs w:val="22"/>
        </w:rPr>
      </w:pPr>
    </w:p>
    <w:p w14:paraId="52BA3B3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16. Lorsqu'un tribunal populaire est saisi d'une affaire de mariage nul pour cause de bigamie et que le partage des biens est en jeu, il autorise les époux au mariage légal à intervenir en qualité de tiers, en faisant valoir leurs droits propres.</w:t>
      </w:r>
    </w:p>
    <w:p w14:paraId="4D7E7EE0" w14:textId="77777777" w:rsidR="000170FE" w:rsidRPr="000170FE" w:rsidRDefault="000170FE" w:rsidP="000170FE">
      <w:pPr>
        <w:jc w:val="both"/>
        <w:rPr>
          <w:rFonts w:ascii="Calibri Light" w:hAnsi="Calibri Light" w:cs="Calibri Light"/>
          <w:sz w:val="22"/>
          <w:szCs w:val="22"/>
        </w:rPr>
      </w:pPr>
    </w:p>
    <w:p w14:paraId="08D645AC"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17. Si une partie demande la constatation de la nullité d'un mariage pour des motifs autres que les trois cas de mariage nul prévus à l'article 1051 du Code civil, le tribunal populaire rejette sa demande.</w:t>
      </w:r>
    </w:p>
    <w:p w14:paraId="4C76B835"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Si une partie intente une action civile en annulation de l'enregistrement du mariage pour vice de forme, elle est informée de son droit de former un recours administratif ou d'engager une procédure administrative conformément à la loi.</w:t>
      </w:r>
    </w:p>
    <w:p w14:paraId="0185B109" w14:textId="77777777" w:rsidR="000170FE" w:rsidRPr="000170FE" w:rsidRDefault="000170FE" w:rsidP="000170FE">
      <w:pPr>
        <w:jc w:val="both"/>
        <w:rPr>
          <w:rFonts w:ascii="Calibri Light" w:hAnsi="Calibri Light" w:cs="Calibri Light"/>
          <w:sz w:val="22"/>
          <w:szCs w:val="22"/>
        </w:rPr>
      </w:pPr>
    </w:p>
    <w:p w14:paraId="00E5495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18. Si une personne contraint une autre à se marier contre son gré en la menaçant de porter atteinte à sa vie, son intégrité physique, sa santé, sa réputation ou ses biens, ou à ceux de ses proches, il peut s'agir de « contrainte » au sens de l'article 1052 du Code civil.</w:t>
      </w:r>
    </w:p>
    <w:p w14:paraId="376E7C49"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Seule la personne contrainte peut demander l'annulation du mariage.</w:t>
      </w:r>
    </w:p>
    <w:p w14:paraId="24A2BD2F" w14:textId="77777777" w:rsidR="000170FE" w:rsidRPr="000170FE" w:rsidRDefault="000170FE" w:rsidP="000170FE">
      <w:pPr>
        <w:jc w:val="both"/>
        <w:rPr>
          <w:rFonts w:ascii="Calibri Light" w:hAnsi="Calibri Light" w:cs="Calibri Light"/>
          <w:sz w:val="22"/>
          <w:szCs w:val="22"/>
        </w:rPr>
      </w:pPr>
    </w:p>
    <w:p w14:paraId="1240848D"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lastRenderedPageBreak/>
        <w:t>Article 19. Le délai d'un an prévu à l'article 1052 du Code civil ne s'applique pas aux dispositions relatives à la suspension, à l'interruption ou à la prorogation du délai de prescription.</w:t>
      </w:r>
    </w:p>
    <w:p w14:paraId="6E7E0744"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L'article 152, paragraphe 2, du Code civil ne s'applique pas à la personne contrainte ou privée illégalement de sa liberté individuelle qui demande l'annulation du mariage.</w:t>
      </w:r>
    </w:p>
    <w:p w14:paraId="73E9A7D2" w14:textId="77777777" w:rsidR="000170FE" w:rsidRPr="000170FE" w:rsidRDefault="000170FE" w:rsidP="000170FE">
      <w:pPr>
        <w:jc w:val="both"/>
        <w:rPr>
          <w:rFonts w:ascii="Calibri Light" w:hAnsi="Calibri Light" w:cs="Calibri Light"/>
          <w:sz w:val="22"/>
          <w:szCs w:val="22"/>
        </w:rPr>
      </w:pPr>
    </w:p>
    <w:p w14:paraId="65D827AF"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20. L'expression « absence de force obligatoire dès l'origine » figurant à l'article 1054 du Code civil signifie qu'un mariage nul ou annulable n'est considéré comme dépourvu de force obligatoire dès l'origine que lorsqu'il est légalement déclaré nul ou annulé.</w:t>
      </w:r>
    </w:p>
    <w:p w14:paraId="30776347" w14:textId="77777777" w:rsidR="000170FE" w:rsidRPr="000170FE" w:rsidRDefault="000170FE" w:rsidP="000170FE">
      <w:pPr>
        <w:jc w:val="both"/>
        <w:rPr>
          <w:rFonts w:ascii="Calibri Light" w:hAnsi="Calibri Light" w:cs="Calibri Light"/>
          <w:sz w:val="22"/>
          <w:szCs w:val="22"/>
        </w:rPr>
      </w:pPr>
    </w:p>
    <w:p w14:paraId="6F287A8C"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21. Lorsqu'un tribunal populaire, saisi par une partie, constate la nullité ou l'annulation d'un mariage, il recueille les certificats de mariage des deux époux et transmet le jugement exécutoire au service d'état civil compétent.</w:t>
      </w:r>
    </w:p>
    <w:p w14:paraId="7EF2524E" w14:textId="77777777" w:rsidR="000170FE" w:rsidRPr="000170FE" w:rsidRDefault="000170FE" w:rsidP="000170FE">
      <w:pPr>
        <w:jc w:val="both"/>
        <w:rPr>
          <w:rFonts w:ascii="Calibri Light" w:hAnsi="Calibri Light" w:cs="Calibri Light"/>
          <w:sz w:val="22"/>
          <w:szCs w:val="22"/>
        </w:rPr>
      </w:pPr>
    </w:p>
    <w:p w14:paraId="314C6782"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22. Les biens acquis pendant la période de vie commune d'un mariage déclaré nul ou annulé sont considérés comme des biens communs, sauf preuve du contraire.</w:t>
      </w:r>
    </w:p>
    <w:p w14:paraId="5B2BB2BA" w14:textId="77777777" w:rsidR="000170FE" w:rsidRPr="000170FE" w:rsidRDefault="000170FE" w:rsidP="000170FE">
      <w:pPr>
        <w:jc w:val="both"/>
        <w:rPr>
          <w:rFonts w:ascii="Calibri Light" w:hAnsi="Calibri Light" w:cs="Calibri Light"/>
          <w:sz w:val="22"/>
          <w:szCs w:val="22"/>
        </w:rPr>
      </w:pPr>
    </w:p>
    <w:p w14:paraId="367474DE" w14:textId="77777777" w:rsidR="000170FE" w:rsidRPr="000170FE" w:rsidRDefault="000170FE" w:rsidP="000170FE">
      <w:pPr>
        <w:jc w:val="both"/>
        <w:rPr>
          <w:rFonts w:ascii="Calibri Light" w:hAnsi="Calibri Light" w:cs="Calibri Light"/>
          <w:b/>
          <w:bCs/>
          <w:sz w:val="22"/>
          <w:szCs w:val="22"/>
        </w:rPr>
      </w:pPr>
      <w:r w:rsidRPr="000170FE">
        <w:rPr>
          <w:rFonts w:ascii="Calibri Light" w:hAnsi="Calibri Light" w:cs="Calibri Light"/>
          <w:b/>
          <w:bCs/>
          <w:sz w:val="22"/>
          <w:szCs w:val="22"/>
        </w:rPr>
        <w:t>III. Vie conjugale</w:t>
      </w:r>
    </w:p>
    <w:p w14:paraId="2CB446AF" w14:textId="77777777" w:rsidR="000170FE" w:rsidRPr="000170FE" w:rsidRDefault="000170FE" w:rsidP="000170FE">
      <w:pPr>
        <w:jc w:val="both"/>
        <w:rPr>
          <w:rFonts w:ascii="Calibri Light" w:hAnsi="Calibri Light" w:cs="Calibri Light"/>
          <w:sz w:val="22"/>
          <w:szCs w:val="22"/>
        </w:rPr>
      </w:pPr>
    </w:p>
    <w:p w14:paraId="1B087FD8"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23. Si un mari réclame des dommages et intérêts au motif que l'interruption non autorisée de grossesse de son épouse porte atteinte à ses droits reproductifs, le tribunal populaire rejette cette demande. En cas de désaccord entre les époux concernant la procréation, entraînant une rupture de leur relation et une demande de divorce, le tribunal populaire, après échec de la médiation, statue conformément à l'article 1079, paragraphe 3, point 5 du Code civil.</w:t>
      </w:r>
    </w:p>
    <w:p w14:paraId="301D33E6" w14:textId="77777777" w:rsidR="000170FE" w:rsidRPr="000170FE" w:rsidRDefault="000170FE" w:rsidP="000170FE">
      <w:pPr>
        <w:jc w:val="both"/>
        <w:rPr>
          <w:rFonts w:ascii="Calibri Light" w:hAnsi="Calibri Light" w:cs="Calibri Light"/>
          <w:sz w:val="22"/>
          <w:szCs w:val="22"/>
        </w:rPr>
      </w:pPr>
    </w:p>
    <w:p w14:paraId="6B5CBB65"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24. Les « revenus provenant des droits de propriété intellectuelle » visés à l'article 1062, paragraphe 1, point 3 du Code civil s'entendent des revenus patrimoniaux effectivement perçus ou susceptibles d'être perçus pendant le mariage.</w:t>
      </w:r>
    </w:p>
    <w:p w14:paraId="5F8DFE69" w14:textId="77777777" w:rsidR="000170FE" w:rsidRPr="000170FE" w:rsidRDefault="000170FE" w:rsidP="000170FE">
      <w:pPr>
        <w:jc w:val="both"/>
        <w:rPr>
          <w:rFonts w:ascii="Calibri Light" w:hAnsi="Calibri Light" w:cs="Calibri Light"/>
          <w:sz w:val="22"/>
          <w:szCs w:val="22"/>
        </w:rPr>
      </w:pPr>
    </w:p>
    <w:p w14:paraId="6565F190"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25. Pendant le mariage, les biens suivants font partie des « autres biens qui devraient être détenus conjointement » au sens de l'article 1062 du Code civil :</w:t>
      </w:r>
    </w:p>
    <w:p w14:paraId="4272723F"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(i) Les revenus provenant de placements effectués avec les biens propres de l'un des époux ;</w:t>
      </w:r>
    </w:p>
    <w:p w14:paraId="767195B3"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(ii) Les aides au logement et les fonds de prévoyance logement effectivement perçus ou susceptibles d'être perçus par les deux époux ;</w:t>
      </w:r>
    </w:p>
    <w:p w14:paraId="66C6707D"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(iii) Les pensions de base et les indemnités de faillite effectivement perçues ou susceptibles d'être perçues par les deux époux. Article 26. Les revenus provenant des biens propres de l'un des époux après le mariage, à l'exclusion des intérêts et de la plus-value naturelle, sont considérés comme des biens matrimoniaux.</w:t>
      </w:r>
    </w:p>
    <w:p w14:paraId="65D646BF" w14:textId="77777777" w:rsidR="000170FE" w:rsidRPr="000170FE" w:rsidRDefault="000170FE" w:rsidP="000170FE">
      <w:pPr>
        <w:jc w:val="both"/>
        <w:rPr>
          <w:rFonts w:ascii="Calibri Light" w:hAnsi="Calibri Light" w:cs="Calibri Light"/>
          <w:sz w:val="22"/>
          <w:szCs w:val="22"/>
        </w:rPr>
      </w:pPr>
    </w:p>
    <w:p w14:paraId="6864F755"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lastRenderedPageBreak/>
        <w:t>Article 27. Un logement loué par l'un des époux avant le mariage et acquis après le mariage avec des fonds communs, enregistré au nom de l'un des époux, est considéré comme un bien matrimonial.</w:t>
      </w:r>
    </w:p>
    <w:p w14:paraId="047171F1" w14:textId="77777777" w:rsidR="000170FE" w:rsidRPr="000170FE" w:rsidRDefault="000170FE" w:rsidP="000170FE">
      <w:pPr>
        <w:jc w:val="both"/>
        <w:rPr>
          <w:rFonts w:ascii="Calibri Light" w:hAnsi="Calibri Light" w:cs="Calibri Light"/>
          <w:sz w:val="22"/>
          <w:szCs w:val="22"/>
        </w:rPr>
      </w:pPr>
    </w:p>
    <w:p w14:paraId="0F2CD9E9"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28. Si l'un des époux vend une maison détenue en commun sans le consentement de l'autre, et qu'un tiers l'acquiert de bonne foi, en verse un prix raisonnable et procède à l'enregistrement de la propriété, le tribunal ne fera pas droit à la demande de l'autre époux de récupérer la maison.</w:t>
      </w:r>
    </w:p>
    <w:p w14:paraId="46B06B54" w14:textId="77777777" w:rsidR="000170FE" w:rsidRPr="000170FE" w:rsidRDefault="000170FE" w:rsidP="000170FE">
      <w:pPr>
        <w:jc w:val="both"/>
        <w:rPr>
          <w:rFonts w:ascii="Calibri Light" w:hAnsi="Calibri Light" w:cs="Calibri Light"/>
          <w:sz w:val="22"/>
          <w:szCs w:val="22"/>
        </w:rPr>
      </w:pPr>
    </w:p>
    <w:p w14:paraId="79124B61"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Si l'un des époux dispose d'un bien détenu en commun sans le consentement de l'autre, causant ainsi un préjudice à ce dernier, le tribunal fera droit à la demande de l'autre époux en réparation du préjudice subi lors du divorce.</w:t>
      </w:r>
    </w:p>
    <w:p w14:paraId="4DE2CE96" w14:textId="77777777" w:rsidR="000170FE" w:rsidRPr="000170FE" w:rsidRDefault="000170FE" w:rsidP="000170FE">
      <w:pPr>
        <w:jc w:val="both"/>
        <w:rPr>
          <w:rFonts w:ascii="Calibri Light" w:hAnsi="Calibri Light" w:cs="Calibri Light"/>
          <w:sz w:val="22"/>
          <w:szCs w:val="22"/>
        </w:rPr>
      </w:pPr>
    </w:p>
    <w:p w14:paraId="111C1E32"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29. Si les parents contribuent à l'acquisition d'une maison pour les deux époux avant leur mariage, cette contribution est considérée comme une donation à leur propre enfant, sauf si les parents précisent expressément qu'il s'agit d'une donation aux deux époux.</w:t>
      </w:r>
    </w:p>
    <w:p w14:paraId="060E8854"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Si les parents contribuent à l'acquisition d'une maison pour les deux époux après leur mariage, la situation est régie par leur accord ; en l'absence d'accord ou si l'accord est ambigu, la situation est régie par les principes énoncés à l'article 1062, paragraphe 1, point 4 du Code civil.</w:t>
      </w:r>
    </w:p>
    <w:p w14:paraId="7690B67C" w14:textId="77777777" w:rsidR="000170FE" w:rsidRPr="000170FE" w:rsidRDefault="000170FE" w:rsidP="000170FE">
      <w:pPr>
        <w:jc w:val="both"/>
        <w:rPr>
          <w:rFonts w:ascii="Calibri Light" w:hAnsi="Calibri Light" w:cs="Calibri Light"/>
          <w:sz w:val="22"/>
          <w:szCs w:val="22"/>
        </w:rPr>
      </w:pPr>
    </w:p>
    <w:p w14:paraId="28B5A730"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30. Les prestations d'assurance décès et blessure, les allocations d'invalidité et les indemnités médicales et de subsistance des militaires sont considérées comme des biens personnels.</w:t>
      </w:r>
    </w:p>
    <w:p w14:paraId="5BDBA4E4" w14:textId="77777777" w:rsidR="000170FE" w:rsidRPr="000170FE" w:rsidRDefault="000170FE" w:rsidP="000170FE">
      <w:pPr>
        <w:jc w:val="both"/>
        <w:rPr>
          <w:rFonts w:ascii="Calibri Light" w:hAnsi="Calibri Light" w:cs="Calibri Light"/>
          <w:sz w:val="22"/>
          <w:szCs w:val="22"/>
        </w:rPr>
      </w:pPr>
    </w:p>
    <w:p w14:paraId="1451B179"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31. Les biens appartenant à l'un des époux, tels que définis à l'article 1063 du Code civil, ne deviennent pas automatiquement des biens communs du seul fait de la poursuite du mariage, sauf convention contraire des parties.</w:t>
      </w:r>
    </w:p>
    <w:p w14:paraId="1D121EFD" w14:textId="77777777" w:rsidR="000170FE" w:rsidRPr="000170FE" w:rsidRDefault="000170FE" w:rsidP="000170FE">
      <w:pPr>
        <w:jc w:val="both"/>
        <w:rPr>
          <w:rFonts w:ascii="Calibri Light" w:hAnsi="Calibri Light" w:cs="Calibri Light"/>
          <w:sz w:val="22"/>
          <w:szCs w:val="22"/>
        </w:rPr>
      </w:pPr>
    </w:p>
    <w:p w14:paraId="5B3B93F2"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32. Si, avant ou pendant le mariage, les époux conviennent de donner ou de partager un bien immobilier appartenant à l'un au profit de l'autre, et que le donateur révoque la donation avant le changement d'inscription du bien, l'autre époux peut demander un jugement ordonnant la poursuite de l'exécution. Le Tribunal populaire peut alors statuer sur l'affaire conformément à l'article 658 du Code civil.</w:t>
      </w:r>
    </w:p>
    <w:p w14:paraId="17A7820F" w14:textId="77777777" w:rsidR="000170FE" w:rsidRPr="000170FE" w:rsidRDefault="000170FE" w:rsidP="000170FE">
      <w:pPr>
        <w:jc w:val="both"/>
        <w:rPr>
          <w:rFonts w:ascii="Calibri Light" w:hAnsi="Calibri Light" w:cs="Calibri Light"/>
          <w:sz w:val="22"/>
          <w:szCs w:val="22"/>
        </w:rPr>
      </w:pPr>
    </w:p>
    <w:p w14:paraId="10353672"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33. Le Tribunal populaire ne fera pas droit à la demande d'un créancier contre le conjoint d'un débiteur pour des dettes personnelles contractées par l'un des époux avant le mariage, sauf si le créancier peut prouver que la dette a été utilisée pour les besoins de la vie commune du ménage après le mariage.</w:t>
      </w:r>
    </w:p>
    <w:p w14:paraId="64766158" w14:textId="77777777" w:rsidR="000170FE" w:rsidRPr="000170FE" w:rsidRDefault="000170FE" w:rsidP="000170FE">
      <w:pPr>
        <w:jc w:val="both"/>
        <w:rPr>
          <w:rFonts w:ascii="Calibri Light" w:hAnsi="Calibri Light" w:cs="Calibri Light"/>
          <w:sz w:val="22"/>
          <w:szCs w:val="22"/>
        </w:rPr>
      </w:pPr>
    </w:p>
    <w:p w14:paraId="2C815412"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34. Si l'un des époux s'entend avec un tiers pour créer une dette, et que ce tiers prétend qu'il s'agit d'une dette commune du couple, le Tribunal populaire rejettera cette prétention.</w:t>
      </w:r>
    </w:p>
    <w:p w14:paraId="78830DFA" w14:textId="77777777" w:rsidR="000170FE" w:rsidRPr="000170FE" w:rsidRDefault="000170FE" w:rsidP="000170FE">
      <w:pPr>
        <w:jc w:val="both"/>
        <w:rPr>
          <w:rFonts w:ascii="Calibri Light" w:hAnsi="Calibri Light" w:cs="Calibri Light"/>
          <w:sz w:val="22"/>
          <w:szCs w:val="22"/>
        </w:rPr>
      </w:pPr>
    </w:p>
    <w:p w14:paraId="56BC2F0C"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Le Tribunal populaire rejettera également la prétention d'un tiers selon laquelle une dette contractée par l'un des époux dans le cadre d'activités illégales ou criminelles, telles que les jeux de hasard ou la consommation de stupéfiants, constitue une dette commune du couple. Article 35. Même si l'accord de divorce des parties ou un jugement, une décision ou une déclaration de médiation exécutoire du Tribunal populaire a déjà statué sur le partage des biens matrimoniaux, le créancier conserve le droit de réclamer aux deux époux le paiement des dettes communes.</w:t>
      </w:r>
    </w:p>
    <w:p w14:paraId="37F70EC0"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Si l'un des époux a assumé la responsabilité de dettes communes contractées pendant le mariage et prétend ensuite que l'autre époux devrait assumer les dettes correspondantes en vertu de l'accord de divorce ou d'un acte juridique rendu par le Tribunal populaire, le Tribunal populaire fera droit à cette demande.</w:t>
      </w:r>
    </w:p>
    <w:p w14:paraId="1BFD9CDD" w14:textId="77777777" w:rsidR="000170FE" w:rsidRPr="000170FE" w:rsidRDefault="000170FE" w:rsidP="000170FE">
      <w:pPr>
        <w:jc w:val="both"/>
        <w:rPr>
          <w:rFonts w:ascii="Calibri Light" w:hAnsi="Calibri Light" w:cs="Calibri Light"/>
          <w:sz w:val="22"/>
          <w:szCs w:val="22"/>
        </w:rPr>
      </w:pPr>
    </w:p>
    <w:p w14:paraId="6B779E34"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36. En cas de décès de l'un des époux, le conjoint survivant est tenu au remboursement des dettes communes contractées pendant le mariage.</w:t>
      </w:r>
    </w:p>
    <w:p w14:paraId="66FD1B83" w14:textId="77777777" w:rsidR="000170FE" w:rsidRPr="000170FE" w:rsidRDefault="000170FE" w:rsidP="000170FE">
      <w:pPr>
        <w:jc w:val="both"/>
        <w:rPr>
          <w:rFonts w:ascii="Calibri Light" w:hAnsi="Calibri Light" w:cs="Calibri Light"/>
          <w:sz w:val="22"/>
          <w:szCs w:val="22"/>
        </w:rPr>
      </w:pPr>
    </w:p>
    <w:p w14:paraId="17155CB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37. La charge de la preuve relative à la connaissance de l'accord par l'autre partie, au sens de l'article 1065, paragraphe 3 du Code civil, incombe à l'époux non responsable.</w:t>
      </w:r>
    </w:p>
    <w:p w14:paraId="29929014" w14:textId="77777777" w:rsidR="000170FE" w:rsidRPr="000170FE" w:rsidRDefault="000170FE" w:rsidP="000170FE">
      <w:pPr>
        <w:jc w:val="both"/>
        <w:rPr>
          <w:rFonts w:ascii="Calibri Light" w:hAnsi="Calibri Light" w:cs="Calibri Light"/>
          <w:sz w:val="22"/>
          <w:szCs w:val="22"/>
        </w:rPr>
      </w:pPr>
    </w:p>
    <w:p w14:paraId="76AE208F"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38. Pendant le mariage, sauf dans les cas prévus à l'article 1066 du Code civil, le Tribunal populaire ne peut faire droit à une demande de partage des biens communs présentée par l'un des époux.</w:t>
      </w:r>
    </w:p>
    <w:p w14:paraId="1124113A" w14:textId="77777777" w:rsidR="000170FE" w:rsidRPr="000170FE" w:rsidRDefault="000170FE" w:rsidP="000170FE">
      <w:pPr>
        <w:jc w:val="both"/>
        <w:rPr>
          <w:rFonts w:ascii="Calibri Light" w:hAnsi="Calibri Light" w:cs="Calibri Light"/>
          <w:sz w:val="22"/>
          <w:szCs w:val="22"/>
        </w:rPr>
      </w:pPr>
    </w:p>
    <w:p w14:paraId="2FB59A8A" w14:textId="77777777" w:rsidR="000170FE" w:rsidRPr="000170FE" w:rsidRDefault="000170FE" w:rsidP="000170FE">
      <w:pPr>
        <w:jc w:val="both"/>
        <w:rPr>
          <w:rFonts w:ascii="Calibri Light" w:hAnsi="Calibri Light" w:cs="Calibri Light"/>
          <w:b/>
          <w:bCs/>
          <w:sz w:val="22"/>
          <w:szCs w:val="22"/>
        </w:rPr>
      </w:pPr>
      <w:r w:rsidRPr="000170FE">
        <w:rPr>
          <w:rFonts w:ascii="Calibri Light" w:hAnsi="Calibri Light" w:cs="Calibri Light"/>
          <w:b/>
          <w:bCs/>
          <w:sz w:val="22"/>
          <w:szCs w:val="22"/>
        </w:rPr>
        <w:t>IV. Lien de filiation</w:t>
      </w:r>
    </w:p>
    <w:p w14:paraId="5C4DD2AD"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39. Si un père ou une mère introduit une action en contestation de paternité devant le Tribunal populaire, en apportant les preuves nécessaires, et si l'autre partie ne présente aucune preuve contraire et refuse de se soumettre à un test de paternité, le Tribunal populaire peut déclarer la contestation de paternité fondée.</w:t>
      </w:r>
    </w:p>
    <w:p w14:paraId="54046A46"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Si un père ou une mère et leurs enfants majeurs intentent une action en reconnaissance de filiation, en fournissant les preuves nécessaires, et si l'autre partie ne présente aucune preuve contraire et refuse de se soumettre à un test de paternité, le Tribunal populaire peut déclarer la demande de reconnaissance de filiation fondée.</w:t>
      </w:r>
    </w:p>
    <w:p w14:paraId="486DE063" w14:textId="77777777" w:rsidR="000170FE" w:rsidRPr="000170FE" w:rsidRDefault="000170FE" w:rsidP="000170FE">
      <w:pPr>
        <w:jc w:val="both"/>
        <w:rPr>
          <w:rFonts w:ascii="Calibri Light" w:hAnsi="Calibri Light" w:cs="Calibri Light"/>
          <w:sz w:val="22"/>
          <w:szCs w:val="22"/>
        </w:rPr>
      </w:pPr>
    </w:p>
    <w:p w14:paraId="3A461174"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40. Si, durant le mariage, les deux époux consentent unanimement à une insémination artificielle, l'enfant né est reconnu comme légitime et les droits et obligations entre parents et enfants sont régis par les dispositions pertinentes du Code civil.</w:t>
      </w:r>
    </w:p>
    <w:p w14:paraId="2D1860AA" w14:textId="77777777" w:rsidR="000170FE" w:rsidRPr="000170FE" w:rsidRDefault="000170FE" w:rsidP="000170FE">
      <w:pPr>
        <w:jc w:val="both"/>
        <w:rPr>
          <w:rFonts w:ascii="Calibri Light" w:hAnsi="Calibri Light" w:cs="Calibri Light"/>
          <w:sz w:val="22"/>
          <w:szCs w:val="22"/>
        </w:rPr>
      </w:pPr>
    </w:p>
    <w:p w14:paraId="1B41253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41. Les enfants majeurs qui poursuivent des études secondaires ou inférieures, ou qui ont perdu ou partiellement perdu leur capacité de travailler pour des raisons non subjectives et sont dans l'incapacité de subvenir à leurs besoins, peuvent être reconnus comme « enfants majeurs incapables de vivre de manière autonome » au sens de l'article 1067 du Code civil.</w:t>
      </w:r>
    </w:p>
    <w:p w14:paraId="2D3D5F16" w14:textId="77777777" w:rsidR="000170FE" w:rsidRPr="000170FE" w:rsidRDefault="000170FE" w:rsidP="000170FE">
      <w:pPr>
        <w:jc w:val="both"/>
        <w:rPr>
          <w:rFonts w:ascii="Calibri Light" w:hAnsi="Calibri Light" w:cs="Calibri Light"/>
          <w:sz w:val="22"/>
          <w:szCs w:val="22"/>
        </w:rPr>
      </w:pPr>
    </w:p>
    <w:p w14:paraId="267599FF"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42. La « pension alimentaire » visée à l'article 1067 du Code civil comprend les dépenses liées à l'entretien, à l'éducation et aux soins médicaux des enfants.</w:t>
      </w:r>
    </w:p>
    <w:p w14:paraId="08A19EA9" w14:textId="77777777" w:rsidR="000170FE" w:rsidRPr="000170FE" w:rsidRDefault="000170FE" w:rsidP="000170FE">
      <w:pPr>
        <w:jc w:val="both"/>
        <w:rPr>
          <w:rFonts w:ascii="Calibri Light" w:hAnsi="Calibri Light" w:cs="Calibri Light"/>
          <w:sz w:val="22"/>
          <w:szCs w:val="22"/>
        </w:rPr>
      </w:pPr>
    </w:p>
    <w:p w14:paraId="3B5076C3"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43. Pendant le mariage, si l'un ou les deux parents refusent de remplir leur obligation alimentaire envers leurs enfants et que ces derniers, mineurs ou majeurs incapables de subvenir à leurs besoins, en font la demande, le Tribunal populaire fait droit à leur demande.</w:t>
      </w:r>
    </w:p>
    <w:p w14:paraId="18E8E79E" w14:textId="77777777" w:rsidR="000170FE" w:rsidRPr="000170FE" w:rsidRDefault="000170FE" w:rsidP="000170FE">
      <w:pPr>
        <w:jc w:val="both"/>
        <w:rPr>
          <w:rFonts w:ascii="Calibri Light" w:hAnsi="Calibri Light" w:cs="Calibri Light"/>
          <w:sz w:val="22"/>
          <w:szCs w:val="22"/>
        </w:rPr>
      </w:pPr>
    </w:p>
    <w:p w14:paraId="3A0A4488"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44. En cas de divorce relatif à la garde d'enfants mineurs, les enfants de moins de deux ans sont traités conformément aux principes énoncés à l'article 1084, paragraphe 3, du Code civil. Si la mère se trouve dans l'une des situations suivantes et que le père demande la garde exclusive, le Tribunal populaire fait droit à sa demande :</w:t>
      </w:r>
    </w:p>
    <w:p w14:paraId="4719F67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(1) Elle souffre d'une maladie infectieuse chronique ou d'une autre maladie grave la rendant inapte à s'occuper des enfants ;</w:t>
      </w:r>
    </w:p>
    <w:p w14:paraId="09B0EE6A"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(2) Elle dispose des ressources nécessaires pour subvenir aux besoins des enfants mais manque à ses obligations parentales, tandis que le père demande la garde ;</w:t>
      </w:r>
    </w:p>
    <w:p w14:paraId="01E8E1FD"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(3) Pour d'autres raisons, il est effectivement inapte pour les enfants de vivre avec leur mère.</w:t>
      </w:r>
    </w:p>
    <w:p w14:paraId="5E325451" w14:textId="77777777" w:rsidR="000170FE" w:rsidRPr="000170FE" w:rsidRDefault="000170FE" w:rsidP="000170FE">
      <w:pPr>
        <w:jc w:val="both"/>
        <w:rPr>
          <w:rFonts w:ascii="Calibri Light" w:hAnsi="Calibri Light" w:cs="Calibri Light"/>
          <w:sz w:val="22"/>
          <w:szCs w:val="22"/>
        </w:rPr>
      </w:pPr>
    </w:p>
    <w:p w14:paraId="4BD9841D"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45. Si les deux parents conviennent que les enfants de moins de deux ans doivent être élevés directement par le père, et si cet accord n'a pas d'incidence négative sur le développement sain des enfants, le Tribunal populaire le reconnaît.</w:t>
      </w:r>
    </w:p>
    <w:p w14:paraId="72AE3176" w14:textId="77777777" w:rsidR="000170FE" w:rsidRPr="000170FE" w:rsidRDefault="000170FE" w:rsidP="000170FE">
      <w:pPr>
        <w:jc w:val="both"/>
        <w:rPr>
          <w:rFonts w:ascii="Calibri Light" w:hAnsi="Calibri Light" w:cs="Calibri Light"/>
          <w:sz w:val="22"/>
          <w:szCs w:val="22"/>
        </w:rPr>
      </w:pPr>
    </w:p>
    <w:p w14:paraId="1FAC6F69"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46. Pour les enfants de plus de deux ans, si les deux parents demandent la garde exclusive, la priorité peut être accordée à l'un des parents s'il remplit l'une des conditions suivantes :</w:t>
      </w:r>
    </w:p>
    <w:p w14:paraId="2AD3193A"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(1) Il a subi une stérilisation ou est infertile pour d'autres raisons ;</w:t>
      </w:r>
    </w:p>
    <w:p w14:paraId="43BB4A70"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(2) L'enfant vit avec lui depuis longtemps et un changement de cadre de vie serait manifestement préjudiciable à son développement ;</w:t>
      </w:r>
    </w:p>
    <w:p w14:paraId="05ED71B8"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(3) Il n'a pas d'autres enfants, contrairement à l'autre parent ;</w:t>
      </w:r>
    </w:p>
    <w:p w14:paraId="3341B8C1"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(4) Il est bénéfique au développement de l'enfant qu'il vive avec lui, tandis que l'autre parent souffre d'une maladie infectieuse chronique ou d'une autre maladie grave, ou se trouve dans une situation préjudiciable à la santé physique et mentale de l'enfant, le rendant inapte à vivre avec lui.</w:t>
      </w:r>
    </w:p>
    <w:p w14:paraId="7B598507" w14:textId="77777777" w:rsidR="000170FE" w:rsidRPr="000170FE" w:rsidRDefault="000170FE" w:rsidP="000170FE">
      <w:pPr>
        <w:jc w:val="both"/>
        <w:rPr>
          <w:rFonts w:ascii="Calibri Light" w:hAnsi="Calibri Light" w:cs="Calibri Light"/>
          <w:sz w:val="22"/>
          <w:szCs w:val="22"/>
        </w:rPr>
      </w:pPr>
    </w:p>
    <w:p w14:paraId="345155D7"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47. Si les parents ont des conditions similaires pour élever leurs enfants et demandent tous deux la garde exclusive, mais que l'enfant a vécu de nombreuses années avec ses grands-parents ou grands-parents maternels, et que ces derniers souhaitent et sont en mesure d'aider l'enfant à prendre soin de lui, cela peut constituer une condition prioritaire pour que le père ou la mère obtienne la garde exclusive.</w:t>
      </w:r>
    </w:p>
    <w:p w14:paraId="2F56F7BE" w14:textId="77777777" w:rsidR="000170FE" w:rsidRPr="000170FE" w:rsidRDefault="000170FE" w:rsidP="000170FE">
      <w:pPr>
        <w:jc w:val="both"/>
        <w:rPr>
          <w:rFonts w:ascii="Calibri Light" w:hAnsi="Calibri Light" w:cs="Calibri Light"/>
          <w:sz w:val="22"/>
          <w:szCs w:val="22"/>
        </w:rPr>
      </w:pPr>
    </w:p>
    <w:p w14:paraId="366AF74F"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lastRenderedPageBreak/>
        <w:t>Article 48. Lorsque les deux parents conviennent d'élever l'enfant à tour de rôle, pour autant que cela soit dans l'intérêt supérieur de l'enfant, le Tribunal populaire entérine cet accord.</w:t>
      </w:r>
    </w:p>
    <w:p w14:paraId="409E6FE2" w14:textId="77777777" w:rsidR="000170FE" w:rsidRPr="000170FE" w:rsidRDefault="000170FE" w:rsidP="000170FE">
      <w:pPr>
        <w:jc w:val="both"/>
        <w:rPr>
          <w:rFonts w:ascii="Calibri Light" w:hAnsi="Calibri Light" w:cs="Calibri Light"/>
          <w:sz w:val="22"/>
          <w:szCs w:val="22"/>
        </w:rPr>
      </w:pPr>
    </w:p>
    <w:p w14:paraId="1937174E"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49. Le montant de la pension alimentaire peut être déterminé en fonction des besoins réels de l'enfant, des ressources financières des deux parents et du coût de la vie local.</w:t>
      </w:r>
    </w:p>
    <w:p w14:paraId="3751510F"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Pour les personnes à revenu fixe, la pension alimentaire représente généralement entre 20 % et 30 % de leur revenu mensuel total. Pour les familles ayant deux enfants ou plus, ce pourcentage peut être augmenté en conséquence, sans toutefois excéder 50 % de leur revenu mensuel total.</w:t>
      </w:r>
    </w:p>
    <w:p w14:paraId="0FFBC415"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Pour les personnes sans revenu fixe, le montant de la pension alimentaire peut être déterminé en fonction de leur revenu annuel total ou du revenu moyen dans le même secteur d'activité, conformément aux pourcentages mentionnés ci-dessus.</w:t>
      </w:r>
    </w:p>
    <w:p w14:paraId="714463AB" w14:textId="77777777"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Dans des circonstances exceptionnelles, ces pourcentages peuvent être ajustés à la hausse ou à la baisse.</w:t>
      </w:r>
    </w:p>
    <w:p w14:paraId="67B09539" w14:textId="77777777" w:rsidR="000170FE" w:rsidRPr="000170FE" w:rsidRDefault="000170FE" w:rsidP="000170FE">
      <w:pPr>
        <w:jc w:val="both"/>
        <w:rPr>
          <w:rFonts w:ascii="Calibri Light" w:hAnsi="Calibri Light" w:cs="Calibri Light"/>
          <w:sz w:val="22"/>
          <w:szCs w:val="22"/>
        </w:rPr>
      </w:pPr>
    </w:p>
    <w:p w14:paraId="639B5CA7" w14:textId="7C59A084" w:rsidR="000170FE" w:rsidRPr="000170FE" w:rsidRDefault="000170FE" w:rsidP="000170FE">
      <w:pPr>
        <w:jc w:val="both"/>
        <w:rPr>
          <w:rFonts w:ascii="Calibri Light" w:hAnsi="Calibri Light" w:cs="Calibri Light"/>
          <w:sz w:val="22"/>
          <w:szCs w:val="22"/>
        </w:rPr>
      </w:pPr>
      <w:r w:rsidRPr="000170FE">
        <w:rPr>
          <w:rFonts w:ascii="Calibri Light" w:hAnsi="Calibri Light" w:cs="Calibri Light"/>
          <w:sz w:val="22"/>
          <w:szCs w:val="22"/>
        </w:rPr>
        <w:t>Article 50 : La pension alimentaire est versée périodiquement ; un versement unique peut être effectué si les conditions le permettent.</w:t>
      </w:r>
    </w:p>
    <w:sectPr w:rsidR="000170FE" w:rsidRPr="000170FE" w:rsidSect="00466596">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D4B23"/>
    <w:multiLevelType w:val="multilevel"/>
    <w:tmpl w:val="74E4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3871B0"/>
    <w:multiLevelType w:val="hybridMultilevel"/>
    <w:tmpl w:val="F454D9A8"/>
    <w:lvl w:ilvl="0" w:tplc="C172DCE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44568A7"/>
    <w:multiLevelType w:val="multilevel"/>
    <w:tmpl w:val="1B0C0942"/>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1800325">
    <w:abstractNumId w:val="1"/>
  </w:num>
  <w:num w:numId="2" w16cid:durableId="1286352188">
    <w:abstractNumId w:val="2"/>
  </w:num>
  <w:num w:numId="3" w16cid:durableId="644893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0ED"/>
    <w:rsid w:val="000170FE"/>
    <w:rsid w:val="00363463"/>
    <w:rsid w:val="00466596"/>
    <w:rsid w:val="005E6040"/>
    <w:rsid w:val="00C840ED"/>
    <w:rsid w:val="00EB7A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5224A"/>
  <w15:chartTrackingRefBased/>
  <w15:docId w15:val="{7EB2D261-BF51-4161-A538-47212F9A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840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840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840E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840E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840E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840E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840E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840E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840E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
    <w:name w:val="A)"/>
    <w:basedOn w:val="Paragraphedeliste"/>
    <w:next w:val="Normal"/>
    <w:link w:val="ACar"/>
    <w:qFormat/>
    <w:rsid w:val="00EB7A1A"/>
    <w:pPr>
      <w:numPr>
        <w:numId w:val="2"/>
      </w:numPr>
      <w:shd w:val="clear" w:color="auto" w:fill="FAE2D5" w:themeFill="accent2" w:themeFillTint="33"/>
      <w:spacing w:after="0" w:line="240" w:lineRule="auto"/>
      <w:ind w:hanging="360"/>
      <w:jc w:val="both"/>
    </w:pPr>
    <w:rPr>
      <w:rFonts w:ascii="Garamond" w:hAnsi="Garamond" w:cs="Times New Roman"/>
      <w:b/>
      <w:bCs/>
      <w:szCs w:val="20"/>
      <w:u w:val="single"/>
      <w:lang w:eastAsia="fr-FR"/>
    </w:rPr>
  </w:style>
  <w:style w:type="character" w:customStyle="1" w:styleId="ACar">
    <w:name w:val="A) Car"/>
    <w:basedOn w:val="Policepardfaut"/>
    <w:link w:val="A"/>
    <w:rsid w:val="00EB7A1A"/>
    <w:rPr>
      <w:rFonts w:ascii="Garamond" w:hAnsi="Garamond" w:cs="Times New Roman"/>
      <w:b/>
      <w:bCs/>
      <w:szCs w:val="20"/>
      <w:u w:val="single"/>
      <w:shd w:val="clear" w:color="auto" w:fill="FAE2D5" w:themeFill="accent2" w:themeFillTint="33"/>
      <w:lang w:eastAsia="fr-FR"/>
    </w:rPr>
  </w:style>
  <w:style w:type="paragraph" w:styleId="Paragraphedeliste">
    <w:name w:val="List Paragraph"/>
    <w:basedOn w:val="Normal"/>
    <w:uiPriority w:val="34"/>
    <w:qFormat/>
    <w:rsid w:val="00EB7A1A"/>
    <w:pPr>
      <w:ind w:left="720"/>
      <w:contextualSpacing/>
    </w:pPr>
  </w:style>
  <w:style w:type="character" w:customStyle="1" w:styleId="Titre1Car">
    <w:name w:val="Titre 1 Car"/>
    <w:basedOn w:val="Policepardfaut"/>
    <w:link w:val="Titre1"/>
    <w:uiPriority w:val="9"/>
    <w:rsid w:val="00C840E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840E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840E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840E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840E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840E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840E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840E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840ED"/>
    <w:rPr>
      <w:rFonts w:eastAsiaTheme="majorEastAsia" w:cstheme="majorBidi"/>
      <w:color w:val="272727" w:themeColor="text1" w:themeTint="D8"/>
    </w:rPr>
  </w:style>
  <w:style w:type="paragraph" w:styleId="Titre">
    <w:name w:val="Title"/>
    <w:basedOn w:val="Normal"/>
    <w:next w:val="Normal"/>
    <w:link w:val="TitreCar"/>
    <w:uiPriority w:val="10"/>
    <w:qFormat/>
    <w:rsid w:val="00C840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840E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840E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840E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840ED"/>
    <w:pPr>
      <w:spacing w:before="160"/>
      <w:jc w:val="center"/>
    </w:pPr>
    <w:rPr>
      <w:i/>
      <w:iCs/>
      <w:color w:val="404040" w:themeColor="text1" w:themeTint="BF"/>
    </w:rPr>
  </w:style>
  <w:style w:type="character" w:customStyle="1" w:styleId="CitationCar">
    <w:name w:val="Citation Car"/>
    <w:basedOn w:val="Policepardfaut"/>
    <w:link w:val="Citation"/>
    <w:uiPriority w:val="29"/>
    <w:rsid w:val="00C840ED"/>
    <w:rPr>
      <w:i/>
      <w:iCs/>
      <w:color w:val="404040" w:themeColor="text1" w:themeTint="BF"/>
    </w:rPr>
  </w:style>
  <w:style w:type="character" w:styleId="Accentuationintense">
    <w:name w:val="Intense Emphasis"/>
    <w:basedOn w:val="Policepardfaut"/>
    <w:uiPriority w:val="21"/>
    <w:qFormat/>
    <w:rsid w:val="00C840ED"/>
    <w:rPr>
      <w:i/>
      <w:iCs/>
      <w:color w:val="0F4761" w:themeColor="accent1" w:themeShade="BF"/>
    </w:rPr>
  </w:style>
  <w:style w:type="paragraph" w:styleId="Citationintense">
    <w:name w:val="Intense Quote"/>
    <w:basedOn w:val="Normal"/>
    <w:next w:val="Normal"/>
    <w:link w:val="CitationintenseCar"/>
    <w:uiPriority w:val="30"/>
    <w:qFormat/>
    <w:rsid w:val="00C840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840ED"/>
    <w:rPr>
      <w:i/>
      <w:iCs/>
      <w:color w:val="0F4761" w:themeColor="accent1" w:themeShade="BF"/>
    </w:rPr>
  </w:style>
  <w:style w:type="character" w:styleId="Rfrenceintense">
    <w:name w:val="Intense Reference"/>
    <w:basedOn w:val="Policepardfaut"/>
    <w:uiPriority w:val="32"/>
    <w:qFormat/>
    <w:rsid w:val="00C840ED"/>
    <w:rPr>
      <w:b/>
      <w:bCs/>
      <w:smallCaps/>
      <w:color w:val="0F4761" w:themeColor="accent1" w:themeShade="BF"/>
      <w:spacing w:val="5"/>
    </w:rPr>
  </w:style>
  <w:style w:type="character" w:styleId="Lienhypertexte">
    <w:name w:val="Hyperlink"/>
    <w:basedOn w:val="Policepardfaut"/>
    <w:uiPriority w:val="99"/>
    <w:unhideWhenUsed/>
    <w:rsid w:val="00C840ED"/>
    <w:rPr>
      <w:color w:val="467886" w:themeColor="hyperlink"/>
      <w:u w:val="single"/>
    </w:rPr>
  </w:style>
  <w:style w:type="character" w:styleId="Mentionnonrsolue">
    <w:name w:val="Unresolved Mention"/>
    <w:basedOn w:val="Policepardfaut"/>
    <w:uiPriority w:val="99"/>
    <w:semiHidden/>
    <w:unhideWhenUsed/>
    <w:rsid w:val="00C840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3325</Words>
  <Characters>16226</Characters>
  <Application>Microsoft Office Word</Application>
  <DocSecurity>0</DocSecurity>
  <Lines>463</Lines>
  <Paragraphs>260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de LARDEMELLE</dc:creator>
  <cp:keywords/>
  <dc:description/>
  <cp:lastModifiedBy>Marie de LARDEMELLE</cp:lastModifiedBy>
  <cp:revision>1</cp:revision>
  <cp:lastPrinted>2026-02-24T15:35:00Z</cp:lastPrinted>
  <dcterms:created xsi:type="dcterms:W3CDTF">2026-02-24T15:12:00Z</dcterms:created>
  <dcterms:modified xsi:type="dcterms:W3CDTF">2026-02-24T15:36:00Z</dcterms:modified>
</cp:coreProperties>
</file>