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EB636" w14:textId="77777777" w:rsidR="001B2F11" w:rsidRPr="001B2F11" w:rsidRDefault="001B2F11" w:rsidP="001B2F11">
      <w:pPr>
        <w:pBdr>
          <w:top w:val="single" w:sz="4" w:space="1" w:color="auto"/>
          <w:left w:val="single" w:sz="4" w:space="4" w:color="auto"/>
          <w:bottom w:val="single" w:sz="4" w:space="1" w:color="auto"/>
          <w:right w:val="single" w:sz="4" w:space="4" w:color="auto"/>
        </w:pBdr>
        <w:jc w:val="center"/>
        <w:rPr>
          <w:rFonts w:ascii="Calibri Light" w:hAnsi="Calibri Light" w:cs="Calibri Light"/>
          <w:sz w:val="22"/>
          <w:szCs w:val="22"/>
        </w:rPr>
      </w:pPr>
      <w:r w:rsidRPr="001B2F11">
        <w:rPr>
          <w:rFonts w:ascii="Calibri Light" w:hAnsi="Calibri Light" w:cs="Calibri Light"/>
          <w:sz w:val="22"/>
          <w:szCs w:val="22"/>
        </w:rPr>
        <w:t>Interprétation du Code civil, article 2 relatif au mariage et à la famille</w:t>
      </w:r>
    </w:p>
    <w:p w14:paraId="7F312F86" w14:textId="77777777" w:rsidR="001B2F11" w:rsidRPr="001B2F11" w:rsidRDefault="001B2F11" w:rsidP="001B2F11">
      <w:pPr>
        <w:pBdr>
          <w:top w:val="single" w:sz="4" w:space="1" w:color="auto"/>
          <w:left w:val="single" w:sz="4" w:space="4" w:color="auto"/>
          <w:bottom w:val="single" w:sz="4" w:space="1" w:color="auto"/>
          <w:right w:val="single" w:sz="4" w:space="4" w:color="auto"/>
        </w:pBdr>
        <w:jc w:val="center"/>
        <w:rPr>
          <w:rFonts w:ascii="Calibri Light" w:hAnsi="Calibri Light" w:cs="Calibri Light"/>
          <w:sz w:val="22"/>
          <w:szCs w:val="22"/>
        </w:rPr>
      </w:pPr>
      <w:r w:rsidRPr="001B2F11">
        <w:rPr>
          <w:rFonts w:ascii="Calibri Light" w:hAnsi="Calibri Light" w:cs="Calibri Light"/>
          <w:sz w:val="22"/>
          <w:szCs w:val="22"/>
        </w:rPr>
        <w:t>Traduction de China Law le 15/01/2025</w:t>
      </w:r>
    </w:p>
    <w:p w14:paraId="1CF915E7" w14:textId="77777777" w:rsidR="001B2F11" w:rsidRPr="001B2F11" w:rsidRDefault="001B2F11" w:rsidP="001B2F11">
      <w:pPr>
        <w:pBdr>
          <w:top w:val="single" w:sz="4" w:space="1" w:color="auto"/>
          <w:left w:val="single" w:sz="4" w:space="4" w:color="auto"/>
          <w:bottom w:val="single" w:sz="4" w:space="1" w:color="auto"/>
          <w:right w:val="single" w:sz="4" w:space="4" w:color="auto"/>
        </w:pBdr>
        <w:jc w:val="center"/>
        <w:rPr>
          <w:rFonts w:ascii="Calibri Light" w:hAnsi="Calibri Light" w:cs="Calibri Light"/>
          <w:sz w:val="22"/>
          <w:szCs w:val="22"/>
        </w:rPr>
      </w:pPr>
      <w:r w:rsidRPr="001B2F11">
        <w:rPr>
          <w:rFonts w:ascii="Calibri Light" w:hAnsi="Calibri Light" w:cs="Calibri Light"/>
          <w:b/>
          <w:bCs/>
          <w:sz w:val="22"/>
          <w:szCs w:val="22"/>
        </w:rPr>
        <w:t>Date de promulgation :</w:t>
      </w:r>
      <w:r w:rsidRPr="001B2F11">
        <w:rPr>
          <w:rFonts w:ascii="Calibri Light" w:hAnsi="Calibri Light" w:cs="Calibri Light"/>
          <w:sz w:val="22"/>
          <w:szCs w:val="22"/>
        </w:rPr>
        <w:t xml:space="preserve"> 2025-1-15</w:t>
      </w:r>
    </w:p>
    <w:p w14:paraId="1AC9F9E4" w14:textId="40E795B4" w:rsidR="001B2F11" w:rsidRPr="001B2F11" w:rsidRDefault="001B2F11" w:rsidP="001B2F11">
      <w:pPr>
        <w:pBdr>
          <w:top w:val="single" w:sz="4" w:space="1" w:color="auto"/>
          <w:left w:val="single" w:sz="4" w:space="4" w:color="auto"/>
          <w:bottom w:val="single" w:sz="4" w:space="1" w:color="auto"/>
          <w:right w:val="single" w:sz="4" w:space="4" w:color="auto"/>
        </w:pBdr>
        <w:jc w:val="center"/>
        <w:rPr>
          <w:rFonts w:ascii="Calibri Light" w:hAnsi="Calibri Light" w:cs="Calibri Light"/>
          <w:sz w:val="22"/>
          <w:szCs w:val="22"/>
        </w:rPr>
      </w:pPr>
      <w:r w:rsidRPr="001B2F11">
        <w:rPr>
          <w:rFonts w:ascii="Calibri Light" w:hAnsi="Calibri Light" w:cs="Calibri Light"/>
          <w:b/>
          <w:bCs/>
          <w:sz w:val="22"/>
          <w:szCs w:val="22"/>
        </w:rPr>
        <w:t>Titre :</w:t>
      </w:r>
      <w:proofErr w:type="spellStart"/>
      <w:r w:rsidRPr="001B2F11">
        <w:rPr>
          <w:rFonts w:ascii="Calibri Light" w:eastAsia="MS Gothic" w:hAnsi="Calibri Light" w:cs="Calibri Light"/>
          <w:sz w:val="22"/>
          <w:szCs w:val="22"/>
        </w:rPr>
        <w:t>最高人民法院关于适用《中</w:t>
      </w:r>
      <w:r w:rsidRPr="001B2F11">
        <w:rPr>
          <w:rFonts w:ascii="Calibri Light" w:eastAsia="Microsoft JhengHei" w:hAnsi="Calibri Light" w:cs="Calibri Light"/>
          <w:sz w:val="22"/>
          <w:szCs w:val="22"/>
        </w:rPr>
        <w:t>华人民共和国民法典》婚姻家庭编的解释（二</w:t>
      </w:r>
      <w:proofErr w:type="spellEnd"/>
      <w:r w:rsidRPr="001B2F11">
        <w:rPr>
          <w:rFonts w:ascii="Calibri Light" w:eastAsia="Microsoft JhengHei" w:hAnsi="Calibri Light" w:cs="Calibri Light"/>
          <w:sz w:val="22"/>
          <w:szCs w:val="22"/>
        </w:rPr>
        <w:t>）</w:t>
      </w:r>
    </w:p>
    <w:p w14:paraId="5184516E" w14:textId="0F6702D8" w:rsidR="001B2F11" w:rsidRPr="001B2F11" w:rsidRDefault="001B2F11" w:rsidP="001B2F11">
      <w:pPr>
        <w:pBdr>
          <w:top w:val="single" w:sz="4" w:space="1" w:color="auto"/>
          <w:left w:val="single" w:sz="4" w:space="4" w:color="auto"/>
          <w:bottom w:val="single" w:sz="4" w:space="1" w:color="auto"/>
          <w:right w:val="single" w:sz="4" w:space="4" w:color="auto"/>
        </w:pBdr>
        <w:jc w:val="center"/>
        <w:rPr>
          <w:rFonts w:ascii="Calibri Light" w:hAnsi="Calibri Light" w:cs="Calibri Light"/>
          <w:sz w:val="22"/>
          <w:szCs w:val="22"/>
        </w:rPr>
      </w:pPr>
      <w:r w:rsidRPr="001B2F11">
        <w:rPr>
          <w:rFonts w:ascii="Calibri Light" w:hAnsi="Calibri Light" w:cs="Calibri Light"/>
          <w:b/>
          <w:bCs/>
          <w:sz w:val="22"/>
          <w:szCs w:val="22"/>
        </w:rPr>
        <w:t>Document Numéro :</w:t>
      </w:r>
      <w:proofErr w:type="spellStart"/>
      <w:r w:rsidRPr="001B2F11">
        <w:rPr>
          <w:rFonts w:ascii="Calibri Light" w:eastAsia="MS Gothic" w:hAnsi="Calibri Light" w:cs="Calibri Light"/>
          <w:sz w:val="22"/>
          <w:szCs w:val="22"/>
        </w:rPr>
        <w:t>法</w:t>
      </w:r>
      <w:r w:rsidRPr="001B2F11">
        <w:rPr>
          <w:rFonts w:ascii="Calibri Light" w:eastAsia="Microsoft JhengHei" w:hAnsi="Calibri Light" w:cs="Calibri Light"/>
          <w:sz w:val="22"/>
          <w:szCs w:val="22"/>
        </w:rPr>
        <w:t>释</w:t>
      </w:r>
      <w:proofErr w:type="spellEnd"/>
      <w:r w:rsidRPr="001B2F11">
        <w:rPr>
          <w:rFonts w:ascii="Calibri Light" w:eastAsia="Microsoft JhengHei" w:hAnsi="Calibri Light" w:cs="Calibri Light"/>
          <w:sz w:val="22"/>
          <w:szCs w:val="22"/>
        </w:rPr>
        <w:t>〔</w:t>
      </w:r>
      <w:r w:rsidRPr="001B2F11">
        <w:rPr>
          <w:rFonts w:ascii="Calibri Light" w:hAnsi="Calibri Light" w:cs="Calibri Light"/>
          <w:sz w:val="22"/>
          <w:szCs w:val="22"/>
        </w:rPr>
        <w:t>2025</w:t>
      </w:r>
      <w:r w:rsidRPr="001B2F11">
        <w:rPr>
          <w:rFonts w:ascii="Calibri Light" w:eastAsia="Cambria Math" w:hAnsi="Calibri Light" w:cs="Calibri Light"/>
          <w:sz w:val="22"/>
          <w:szCs w:val="22"/>
        </w:rPr>
        <w:t>〕</w:t>
      </w:r>
      <w:r w:rsidRPr="001B2F11">
        <w:rPr>
          <w:rFonts w:ascii="Calibri Light" w:hAnsi="Calibri Light" w:cs="Calibri Light"/>
          <w:sz w:val="22"/>
          <w:szCs w:val="22"/>
        </w:rPr>
        <w:t>1</w:t>
      </w:r>
      <w:r w:rsidRPr="001B2F11">
        <w:rPr>
          <w:rFonts w:ascii="Calibri Light" w:eastAsia="MS Gothic" w:hAnsi="Calibri Light" w:cs="Calibri Light"/>
          <w:sz w:val="22"/>
          <w:szCs w:val="22"/>
        </w:rPr>
        <w:t>号</w:t>
      </w:r>
    </w:p>
    <w:p w14:paraId="5C34CC3D" w14:textId="7DE4D3E2" w:rsidR="001B2F11" w:rsidRPr="001B2F11" w:rsidRDefault="001B2F11" w:rsidP="001B2F11">
      <w:pPr>
        <w:pBdr>
          <w:top w:val="single" w:sz="4" w:space="1" w:color="auto"/>
          <w:left w:val="single" w:sz="4" w:space="4" w:color="auto"/>
          <w:bottom w:val="single" w:sz="4" w:space="1" w:color="auto"/>
          <w:right w:val="single" w:sz="4" w:space="4" w:color="auto"/>
        </w:pBdr>
        <w:jc w:val="center"/>
        <w:rPr>
          <w:rFonts w:ascii="Calibri Light" w:hAnsi="Calibri Light" w:cs="Calibri Light"/>
          <w:sz w:val="22"/>
          <w:szCs w:val="22"/>
        </w:rPr>
      </w:pPr>
      <w:r w:rsidRPr="001B2F11">
        <w:rPr>
          <w:rFonts w:ascii="Calibri Light" w:hAnsi="Calibri Light" w:cs="Calibri Light"/>
          <w:b/>
          <w:bCs/>
          <w:sz w:val="22"/>
          <w:szCs w:val="22"/>
        </w:rPr>
        <w:t>Date d'expiration :</w:t>
      </w:r>
    </w:p>
    <w:p w14:paraId="708C33D9" w14:textId="77777777" w:rsidR="001B2F11" w:rsidRPr="001B2F11" w:rsidRDefault="001B2F11" w:rsidP="001B2F11">
      <w:pPr>
        <w:pBdr>
          <w:top w:val="single" w:sz="4" w:space="1" w:color="auto"/>
          <w:left w:val="single" w:sz="4" w:space="4" w:color="auto"/>
          <w:bottom w:val="single" w:sz="4" w:space="1" w:color="auto"/>
          <w:right w:val="single" w:sz="4" w:space="4" w:color="auto"/>
        </w:pBdr>
        <w:jc w:val="center"/>
        <w:rPr>
          <w:rFonts w:ascii="Calibri Light" w:hAnsi="Calibri Light" w:cs="Calibri Light"/>
          <w:sz w:val="22"/>
          <w:szCs w:val="22"/>
        </w:rPr>
      </w:pPr>
      <w:r w:rsidRPr="001B2F11">
        <w:rPr>
          <w:rFonts w:ascii="Calibri Light" w:hAnsi="Calibri Light" w:cs="Calibri Light"/>
          <w:b/>
          <w:bCs/>
          <w:sz w:val="22"/>
          <w:szCs w:val="22"/>
        </w:rPr>
        <w:t xml:space="preserve">Entités </w:t>
      </w:r>
      <w:proofErr w:type="spellStart"/>
      <w:r w:rsidRPr="001B2F11">
        <w:rPr>
          <w:rFonts w:ascii="Calibri Light" w:hAnsi="Calibri Light" w:cs="Calibri Light"/>
          <w:b/>
          <w:bCs/>
          <w:sz w:val="22"/>
          <w:szCs w:val="22"/>
        </w:rPr>
        <w:t>promulguantes</w:t>
      </w:r>
      <w:proofErr w:type="spellEnd"/>
      <w:r w:rsidRPr="001B2F11">
        <w:rPr>
          <w:rFonts w:ascii="Calibri Light" w:hAnsi="Calibri Light" w:cs="Calibri Light"/>
          <w:b/>
          <w:bCs/>
          <w:sz w:val="22"/>
          <w:szCs w:val="22"/>
        </w:rPr>
        <w:t xml:space="preserve"> :</w:t>
      </w:r>
      <w:r w:rsidRPr="001B2F11">
        <w:rPr>
          <w:rFonts w:ascii="Calibri Light" w:hAnsi="Calibri Light" w:cs="Calibri Light"/>
          <w:sz w:val="22"/>
          <w:szCs w:val="22"/>
        </w:rPr>
        <w:t xml:space="preserve"> Cour populaire suprême</w:t>
      </w:r>
    </w:p>
    <w:p w14:paraId="4DADF70E" w14:textId="4EA186E0" w:rsidR="001B2F11" w:rsidRPr="001B2F11" w:rsidRDefault="001B2F11" w:rsidP="001B2F11">
      <w:pPr>
        <w:pBdr>
          <w:top w:val="single" w:sz="4" w:space="1" w:color="auto"/>
          <w:left w:val="single" w:sz="4" w:space="4" w:color="auto"/>
          <w:bottom w:val="single" w:sz="4" w:space="1" w:color="auto"/>
          <w:right w:val="single" w:sz="4" w:space="4" w:color="auto"/>
        </w:pBdr>
        <w:jc w:val="center"/>
        <w:rPr>
          <w:rFonts w:ascii="Calibri Light" w:hAnsi="Calibri Light" w:cs="Calibri Light"/>
          <w:sz w:val="22"/>
          <w:szCs w:val="22"/>
        </w:rPr>
      </w:pPr>
      <w:r w:rsidRPr="001B2F11">
        <w:rPr>
          <w:rFonts w:ascii="Calibri Light" w:hAnsi="Calibri Light" w:cs="Calibri Light"/>
          <w:b/>
          <w:bCs/>
          <w:sz w:val="22"/>
          <w:szCs w:val="22"/>
        </w:rPr>
        <w:t>Source du texte :</w:t>
      </w:r>
      <w:r w:rsidRPr="001B2F11">
        <w:rPr>
          <w:rFonts w:ascii="Calibri Light" w:hAnsi="Calibri Light" w:cs="Calibri Light"/>
          <w:sz w:val="22"/>
          <w:szCs w:val="22"/>
        </w:rPr>
        <w:t xml:space="preserve"> https://www.court.gov.cn/zixun/xiangqing/452771.html</w:t>
      </w:r>
    </w:p>
    <w:tbl>
      <w:tblPr>
        <w:tblW w:w="9072" w:type="dxa"/>
        <w:tblCellSpacing w:w="0" w:type="dxa"/>
        <w:shd w:val="clear" w:color="auto" w:fill="FFFFFF"/>
        <w:tblCellMar>
          <w:top w:w="96" w:type="dxa"/>
          <w:left w:w="96" w:type="dxa"/>
          <w:bottom w:w="96" w:type="dxa"/>
          <w:right w:w="96" w:type="dxa"/>
        </w:tblCellMar>
        <w:tblLook w:val="04A0" w:firstRow="1" w:lastRow="0" w:firstColumn="1" w:lastColumn="0" w:noHBand="0" w:noVBand="1"/>
      </w:tblPr>
      <w:tblGrid>
        <w:gridCol w:w="8550"/>
        <w:gridCol w:w="300"/>
        <w:gridCol w:w="222"/>
      </w:tblGrid>
      <w:tr w:rsidR="001B2F11" w:rsidRPr="001B2F11" w14:paraId="4B8C2582" w14:textId="77777777" w:rsidTr="001B2F11">
        <w:trPr>
          <w:trHeight w:val="240"/>
          <w:tblCellSpacing w:w="0" w:type="dxa"/>
        </w:trPr>
        <w:tc>
          <w:tcPr>
            <w:tcW w:w="8550" w:type="dxa"/>
            <w:shd w:val="clear" w:color="auto" w:fill="FFFFFF"/>
            <w:hideMark/>
          </w:tcPr>
          <w:p w14:paraId="0EF45EAF" w14:textId="77777777" w:rsidR="001B2F11" w:rsidRPr="001B2F11" w:rsidRDefault="001B2F11" w:rsidP="001B2F11">
            <w:pPr>
              <w:jc w:val="both"/>
              <w:rPr>
                <w:rFonts w:ascii="Calibri Light" w:hAnsi="Calibri Light" w:cs="Calibri Light"/>
                <w:b/>
                <w:bCs/>
                <w:sz w:val="22"/>
                <w:szCs w:val="22"/>
              </w:rPr>
            </w:pPr>
            <w:r w:rsidRPr="001B2F11">
              <w:rPr>
                <w:rFonts w:ascii="Calibri Light" w:hAnsi="Calibri Light" w:cs="Calibri Light"/>
                <w:b/>
                <w:bCs/>
                <w:sz w:val="22"/>
                <w:szCs w:val="22"/>
              </w:rPr>
              <w:t>Annonce de la Cour suprême populaire de la République populaire de Chine</w:t>
            </w:r>
          </w:p>
        </w:tc>
        <w:tc>
          <w:tcPr>
            <w:tcW w:w="300" w:type="dxa"/>
            <w:shd w:val="clear" w:color="auto" w:fill="FFFFFF"/>
            <w:vAlign w:val="center"/>
            <w:hideMark/>
          </w:tcPr>
          <w:p w14:paraId="4FE12076" w14:textId="77777777" w:rsidR="001B2F11" w:rsidRPr="001B2F11" w:rsidRDefault="001B2F11" w:rsidP="001B2F11">
            <w:pPr>
              <w:jc w:val="both"/>
              <w:rPr>
                <w:rFonts w:ascii="Calibri Light" w:hAnsi="Calibri Light" w:cs="Calibri Light"/>
                <w:b/>
                <w:bCs/>
                <w:sz w:val="22"/>
                <w:szCs w:val="22"/>
              </w:rPr>
            </w:pPr>
            <w:r w:rsidRPr="001B2F11">
              <w:rPr>
                <w:rFonts w:ascii="Calibri Light" w:hAnsi="Calibri Light" w:cs="Calibri Light"/>
                <w:b/>
                <w:bCs/>
                <w:sz w:val="22"/>
                <w:szCs w:val="22"/>
              </w:rPr>
              <w:t> </w:t>
            </w:r>
          </w:p>
        </w:tc>
        <w:tc>
          <w:tcPr>
            <w:tcW w:w="222" w:type="dxa"/>
            <w:shd w:val="clear" w:color="auto" w:fill="FFFFFF"/>
          </w:tcPr>
          <w:p w14:paraId="0AA73440" w14:textId="7C6DA722" w:rsidR="001B2F11" w:rsidRPr="001B2F11" w:rsidRDefault="001B2F11" w:rsidP="001B2F11">
            <w:pPr>
              <w:jc w:val="both"/>
              <w:rPr>
                <w:rFonts w:ascii="Calibri Light" w:hAnsi="Calibri Light" w:cs="Calibri Light"/>
                <w:b/>
                <w:bCs/>
                <w:sz w:val="22"/>
                <w:szCs w:val="22"/>
              </w:rPr>
            </w:pPr>
          </w:p>
        </w:tc>
      </w:tr>
      <w:tr w:rsidR="001B2F11" w:rsidRPr="001B2F11" w14:paraId="298BD02A" w14:textId="77777777" w:rsidTr="001B2F11">
        <w:trPr>
          <w:tblCellSpacing w:w="0" w:type="dxa"/>
        </w:trPr>
        <w:tc>
          <w:tcPr>
            <w:tcW w:w="8550" w:type="dxa"/>
            <w:shd w:val="clear" w:color="auto" w:fill="EEEEEE"/>
            <w:hideMark/>
          </w:tcPr>
          <w:p w14:paraId="5A87D726" w14:textId="77777777" w:rsidR="001B2F11" w:rsidRPr="001B2F11" w:rsidRDefault="001B2F11" w:rsidP="001B2F11">
            <w:pPr>
              <w:jc w:val="both"/>
              <w:rPr>
                <w:rFonts w:ascii="Calibri Light" w:hAnsi="Calibri Light" w:cs="Calibri Light"/>
                <w:b/>
                <w:bCs/>
                <w:sz w:val="22"/>
                <w:szCs w:val="22"/>
              </w:rPr>
            </w:pPr>
            <w:r w:rsidRPr="001B2F11">
              <w:rPr>
                <w:rFonts w:ascii="Calibri Light" w:hAnsi="Calibri Light" w:cs="Calibri Light"/>
                <w:b/>
                <w:bCs/>
                <w:sz w:val="22"/>
                <w:szCs w:val="22"/>
              </w:rPr>
              <w:t>L'interprétation (II) de la Cour suprême populaire sur l'application du livre « Mariage et famille » du Code civil de la République populaire de Chine, telle qu'adoptée lors de la 1933e session du Comité judiciaire de la Cour suprême populaire le 25 novembre 2024, est publiée par la présente et entrera en vigueur le 1er février 2025.</w:t>
            </w:r>
          </w:p>
        </w:tc>
        <w:tc>
          <w:tcPr>
            <w:tcW w:w="0" w:type="auto"/>
            <w:shd w:val="clear" w:color="auto" w:fill="EEEEEE"/>
            <w:vAlign w:val="center"/>
            <w:hideMark/>
          </w:tcPr>
          <w:p w14:paraId="2855AE5D" w14:textId="77777777" w:rsidR="001B2F11" w:rsidRPr="001B2F11" w:rsidRDefault="001B2F11" w:rsidP="001B2F11">
            <w:pPr>
              <w:jc w:val="both"/>
              <w:rPr>
                <w:rFonts w:ascii="Calibri Light" w:hAnsi="Calibri Light" w:cs="Calibri Light"/>
                <w:b/>
                <w:bCs/>
                <w:sz w:val="22"/>
                <w:szCs w:val="22"/>
              </w:rPr>
            </w:pPr>
          </w:p>
        </w:tc>
        <w:tc>
          <w:tcPr>
            <w:tcW w:w="222" w:type="dxa"/>
            <w:shd w:val="clear" w:color="auto" w:fill="EEEEEE"/>
            <w:vAlign w:val="center"/>
          </w:tcPr>
          <w:p w14:paraId="7A0EEC4A" w14:textId="77777777" w:rsidR="001B2F11" w:rsidRPr="001B2F11" w:rsidRDefault="001B2F11" w:rsidP="001B2F11">
            <w:pPr>
              <w:jc w:val="both"/>
              <w:rPr>
                <w:rFonts w:ascii="Calibri Light" w:hAnsi="Calibri Light" w:cs="Calibri Light"/>
                <w:b/>
                <w:bCs/>
                <w:sz w:val="22"/>
                <w:szCs w:val="22"/>
              </w:rPr>
            </w:pPr>
          </w:p>
        </w:tc>
      </w:tr>
    </w:tbl>
    <w:p w14:paraId="5AB31A7B" w14:textId="77777777" w:rsidR="001B2F11" w:rsidRDefault="001B2F11" w:rsidP="001B2F11">
      <w:pPr>
        <w:jc w:val="both"/>
        <w:rPr>
          <w:rFonts w:ascii="Calibri Light" w:hAnsi="Calibri Light" w:cs="Calibri Light"/>
          <w:b/>
          <w:bCs/>
          <w:sz w:val="22"/>
          <w:szCs w:val="22"/>
        </w:rPr>
      </w:pPr>
    </w:p>
    <w:p w14:paraId="7E3430E3" w14:textId="15B84EC8"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sz w:val="22"/>
          <w:szCs w:val="22"/>
        </w:rPr>
        <w:t>La présente interprétation est rédigée sur la base du Code civil de la RPC, du Code de procédure civile de la RPC et d'autres lois pertinentes, et en tenant compte de la pratique judiciaire, afin de traiter correctement les affaires de litiges matrimoniaux et familiaux.</w:t>
      </w:r>
    </w:p>
    <w:p w14:paraId="334481EE"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b/>
          <w:bCs/>
          <w:sz w:val="22"/>
          <w:szCs w:val="22"/>
        </w:rPr>
        <w:t>Article 1 : </w:t>
      </w:r>
      <w:r w:rsidRPr="001B2F11">
        <w:rPr>
          <w:rFonts w:ascii="Calibri Light" w:hAnsi="Calibri Light" w:cs="Calibri Light"/>
          <w:sz w:val="22"/>
          <w:szCs w:val="22"/>
        </w:rPr>
        <w:t>Lorsque des parties demandent la confirmation de l'invalidité d'un mariage bigame sur la base de l'article 1051(1) du Code civil et que les parties au mariage légal ont déjà divorcé ou qu'un conjoint est décédé au moment où le litige est introduit, et que le défendeur soutient que cette circonstance rend le mariage ultérieur valide, les tribunaux populaires ne doivent pas le soutenir.</w:t>
      </w:r>
    </w:p>
    <w:p w14:paraId="66395EE6"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b/>
          <w:bCs/>
          <w:sz w:val="22"/>
          <w:szCs w:val="22"/>
        </w:rPr>
        <w:t>Article 2 :</w:t>
      </w:r>
      <w:r w:rsidRPr="001B2F11">
        <w:rPr>
          <w:rFonts w:ascii="Calibri Light" w:hAnsi="Calibri Light" w:cs="Calibri Light"/>
          <w:sz w:val="22"/>
          <w:szCs w:val="22"/>
        </w:rPr>
        <w:t> Lorsque, après l'enregistrement d'un divorce entre un mari et une femme, l'une des parties demande la confirmation que le divorce est invalide au motif que les deux parties ont fait de fausses déclarations, les tribunaux populaires ne doivent pas l'appuyer.</w:t>
      </w:r>
    </w:p>
    <w:p w14:paraId="41FA9CC8"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b/>
          <w:bCs/>
          <w:sz w:val="22"/>
          <w:szCs w:val="22"/>
        </w:rPr>
        <w:t>Article 3 :</w:t>
      </w:r>
      <w:r w:rsidRPr="001B2F11">
        <w:rPr>
          <w:rFonts w:ascii="Calibri Light" w:hAnsi="Calibri Light" w:cs="Calibri Light"/>
          <w:sz w:val="22"/>
          <w:szCs w:val="22"/>
        </w:rPr>
        <w:t> Lorsqu'un créancier mari ou femme dispose de preuves démontrant que les dispositions relatives au partage des biens dans l'accord de divorce ont une incidence sur la réalisation de ses droits de créancier, et qu'il demande l'annulation des dispositions pertinentes en appliquant par référence les articles 538 ou 539 du Code civil, les tribunaux populaires doivent examiner de manière exhaustive des facteurs tels que le partage global des biens communs du mari et de la femme et la mise en œuvre de ce partage, les charges liées à la pension alimentaire pour enfants et la faute dans le divorce, et faire droit à cette demande conformément à la loi.</w:t>
      </w:r>
    </w:p>
    <w:p w14:paraId="465D8ED4"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b/>
          <w:bCs/>
          <w:sz w:val="22"/>
          <w:szCs w:val="22"/>
        </w:rPr>
        <w:t>Article 4 :</w:t>
      </w:r>
      <w:r w:rsidRPr="001B2F11">
        <w:rPr>
          <w:rFonts w:ascii="Calibri Light" w:hAnsi="Calibri Light" w:cs="Calibri Light"/>
          <w:sz w:val="22"/>
          <w:szCs w:val="22"/>
        </w:rPr>
        <w:t> En cas de litige relatif au partage des biens dans le cadre d'une union libre où aucun des conjoints n'est marié, lorsqu'il existe un accord sur les biens acquis pendant la période de vie commune, cet accord prévaut ; à défaut d'accord et en l'absence de toute possibilité de discussion, les tribunaux populaires statuent selon les circonstances suivantes :</w:t>
      </w:r>
    </w:p>
    <w:p w14:paraId="0E3D439E"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sz w:val="22"/>
          <w:szCs w:val="22"/>
        </w:rPr>
        <w:lastRenderedPageBreak/>
        <w:t>(1) Chaque partie doit prendre possession de ses salaires, primes, rémunérations de travail, revenus provenant de droits de propriété intellectuelle et de biens hérités ou donnés, ainsi que de ses revenus provenant de production indépendante, d'activités commerciales, d'investissements, etc.</w:t>
      </w:r>
    </w:p>
    <w:p w14:paraId="5F57CDC0"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sz w:val="22"/>
          <w:szCs w:val="22"/>
        </w:rPr>
        <w:t>(2) Les biens acquis avec un capital commun ou les revenus provenant d’une production, d’une entreprise ou d’investissements communs, ainsi que les autres biens indivisibles, doivent être partagés en fonction de la proportion des apports en capital respectifs et d’une prise en compte globale de facteurs tels que la situation de vie commune, l’existence d’enfants communs et l’importance de l’apport au bien.</w:t>
      </w:r>
    </w:p>
    <w:p w14:paraId="467D3849"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b/>
          <w:bCs/>
          <w:sz w:val="22"/>
          <w:szCs w:val="22"/>
        </w:rPr>
        <w:t>Article 5 :</w:t>
      </w:r>
      <w:r w:rsidRPr="001B2F11">
        <w:rPr>
          <w:rFonts w:ascii="Calibri Light" w:hAnsi="Calibri Light" w:cs="Calibri Light"/>
          <w:sz w:val="22"/>
          <w:szCs w:val="22"/>
        </w:rPr>
        <w:t> Lorsque, avant ou pendant le mariage, les parties conviennent de transférer l'enregistrement d'un logement appartenant à l'une d'elles au nom de l'autre ou des deux parties, et que ce transfert n'a pas été effectué au moment du divorce, et que les deux parties contestent la propriété ou le partage du logement et ne parviennent pas à un accord par la discussion, les tribunaux populaires peuvent statuer en faveur de l'attribution du logement à l'une des parties, sur la base des demandes des parties, du but de l'attribution et d'un examen approfondi de facteurs tels que la durée du mariage, les conditions de leur vie commune et les enfants nés en commun, la faute ayant motivé le divorce, l'importance de la contribution familiale et la valeur marchande du logement au moment du divorce. Ils déterminent également si le bénéficiaire du logement doit verser une indemnité à l'autre partie et, le cas échéant, le montant de cette indemnité.</w:t>
      </w:r>
    </w:p>
    <w:p w14:paraId="4CE513D2"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sz w:val="22"/>
          <w:szCs w:val="22"/>
        </w:rPr>
        <w:t>Lorsque, avant ou pendant le mariage, l'un des époux transfère l'enregistrement d'une maison lui appartenant à l'autre époux ou aux deux époux, et que, lors de la procédure de divorce, les deux époux contestent la propriété ou le partage de la maison et ne parviennent pas à un accord par la discussion, si la durée du mariage a été relativement courte et que l'époux cédant n'a pas commis de faute majeure, le tribunal populaire peut statuer, sur la base des demandes procédurales des parties, que la maison appartient à l'époux cédant. Cette décision prend en considération la finalité de la cession, ainsi qu'un examen approfondi de facteurs tels que les circonstances de leur vie commune et les enfants nés en commun, la faute ayant motivé le divorce, l'importance de la contribution familiale et la valeur marchande de la maison au moment du divorce. Le tribunal détermine ensuite si l'époux bénéficiaire doit verser une indemnité à l'autre époux et, le cas échéant, le montant de cette indemnité.</w:t>
      </w:r>
    </w:p>
    <w:p w14:paraId="0B364E30"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sz w:val="22"/>
          <w:szCs w:val="22"/>
        </w:rPr>
        <w:t>Lorsque la partie donatrice dispose de preuves démontrant que l'autre partie a agi dans des circonstances telles que la tromperie, la contrainte ou l'atteinte grave aux droits et intérêts légitimes de la partie donatrice ou de ses proches, ou a manqué à ses obligations de soutien envers la partie donatrice, et que la partie donatrice cherche à révoquer les actes juridiques civils mentionnés aux deux paragraphes précédents, les tribunaux populaires doivent lui donner raison conformément à la loi.</w:t>
      </w:r>
    </w:p>
    <w:p w14:paraId="3D623452"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b/>
          <w:bCs/>
          <w:sz w:val="22"/>
          <w:szCs w:val="22"/>
        </w:rPr>
        <w:t>Article 6 :</w:t>
      </w:r>
      <w:r w:rsidRPr="001B2F11">
        <w:rPr>
          <w:rFonts w:ascii="Calibri Light" w:hAnsi="Calibri Light" w:cs="Calibri Light"/>
          <w:sz w:val="22"/>
          <w:szCs w:val="22"/>
        </w:rPr>
        <w:t> Lorsqu'un époux utilise, sans le consentement de l'autre, les biens communs du couple pour donner des pourboires sur des plateformes de streaming en ligne, et que le montant excède manifestement les dépenses courantes du ménage et porte gravement atteinte aux intérêts patrimoniaux du couple, cet acte peut être qualifié de « gaspillage » au sens des articles 1066 et 1092 du Code civil. Si l'autre époux souhaite obtenir le partage des biens communs du couple pendant le mariage, ou une part moindre ou nulle du patrimoine commun lors du divorce, les tribunaux doivent faire droit à sa demande.</w:t>
      </w:r>
    </w:p>
    <w:p w14:paraId="7B7E000F"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b/>
          <w:bCs/>
          <w:sz w:val="22"/>
          <w:szCs w:val="22"/>
        </w:rPr>
        <w:t>Article 7 :</w:t>
      </w:r>
      <w:r w:rsidRPr="001B2F11">
        <w:rPr>
          <w:rFonts w:ascii="Calibri Light" w:hAnsi="Calibri Light" w:cs="Calibri Light"/>
          <w:sz w:val="22"/>
          <w:szCs w:val="22"/>
        </w:rPr>
        <w:t xml:space="preserve"> Lorsque, dans le but de se remarier </w:t>
      </w:r>
      <w:proofErr w:type="spellStart"/>
      <w:r w:rsidRPr="001B2F11">
        <w:rPr>
          <w:rFonts w:ascii="Calibri Light" w:hAnsi="Calibri Light" w:cs="Calibri Light"/>
          <w:sz w:val="22"/>
          <w:szCs w:val="22"/>
        </w:rPr>
        <w:t>bigamement</w:t>
      </w:r>
      <w:proofErr w:type="spellEnd"/>
      <w:r w:rsidRPr="001B2F11">
        <w:rPr>
          <w:rFonts w:ascii="Calibri Light" w:hAnsi="Calibri Light" w:cs="Calibri Light"/>
          <w:sz w:val="22"/>
          <w:szCs w:val="22"/>
        </w:rPr>
        <w:t xml:space="preserve">, de cohabiter avec une autre personne ou de violer autrement les obligations conjugales de fidélité, un mari ou une femme donne les biens </w:t>
      </w:r>
      <w:r w:rsidRPr="001B2F11">
        <w:rPr>
          <w:rFonts w:ascii="Calibri Light" w:hAnsi="Calibri Light" w:cs="Calibri Light"/>
          <w:sz w:val="22"/>
          <w:szCs w:val="22"/>
        </w:rPr>
        <w:lastRenderedPageBreak/>
        <w:t>communs du couple à une autre personne ou les cède à des prix manifestement déraisonnables, et que l'autre partie soutient que cette conduite juridique civile est invalide car elle va à l'encontre de la moralité publique et des bonnes mœurs, le tribunal populaire doit la soutenir et traiter l'affaire conformément à l'article 157 du Code civil.</w:t>
      </w:r>
    </w:p>
    <w:p w14:paraId="2BD52A39"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sz w:val="22"/>
          <w:szCs w:val="22"/>
        </w:rPr>
        <w:t>Lorsque l'un des époux se trouve dans les circonstances prévues au paragraphe précédent et que, sur la base de l'article 1066 du Code civil, l'autre partie cherche à diviser les biens communs du couple pendant la durée du mariage au motif que l'autre partie transfère ou vend les biens communs du couple et porte gravement atteinte à leurs intérêts dans les biens communs, ou cherche à ce que l'autre partie reçoive une part moindre ou aucune part conformément à l'article 1092 du Code civil lors du partage des biens en cas de divorce, le tribunal doit lui faire droit.</w:t>
      </w:r>
    </w:p>
    <w:p w14:paraId="2BC1A067"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b/>
          <w:bCs/>
          <w:sz w:val="22"/>
          <w:szCs w:val="22"/>
        </w:rPr>
        <w:t>Article 8 :</w:t>
      </w:r>
      <w:r w:rsidRPr="001B2F11">
        <w:rPr>
          <w:rFonts w:ascii="Calibri Light" w:hAnsi="Calibri Light" w:cs="Calibri Light"/>
          <w:sz w:val="22"/>
          <w:szCs w:val="22"/>
        </w:rPr>
        <w:t> Pendant la durée du mariage, lorsque les parents de l'un des conjoints financent l'acquisition d'un logement par le couple, si le contrat de donation stipule clairement que le don est destiné exclusivement à leur propre enfant, il convient de s'y conformer. En l'absence de contrat ou si celui-ci est ambigu, lors du partage des biens communs en cas de divorce, le tribunal peut statuer que le logement appartient à l'enfant des donateurs et prendre en compte divers facteurs tels que la vie commune, la présence d'enfants communs, la faute ayant motivé le divorce, l'importance de la contribution au ménage et la valeur marchande du logement au moment du divorce afin de déterminer si le bénéficiaire doit verser une indemnité à l'autre conjoint et, le cas échéant, le montant de cette indemnité.</w:t>
      </w:r>
    </w:p>
    <w:p w14:paraId="3E336523"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sz w:val="22"/>
          <w:szCs w:val="22"/>
        </w:rPr>
        <w:t>Pendant la durée du mariage, lorsque l'un ou les deux parents financent l'achat d'une maison par le couple, et si un contrat de donation stipule clairement que les fonds sont destinés uniquement à l'enfant de cette partie, le partage doit être effectué conformément à cet accord. En l'absence d'accord ou si celui-ci est ambigu, lors du partage des biens communs en cas de divorce, les tribunaux peuvent, en se fondant sur les demandes des parties et sur la contribution respective des deux parties, prendre en compte des facteurs tels que la vie commune, les enfants communs, la faute ayant motivé le divorce et l'importance de la contribution de chacun au ménage, et statuer que la maison appartient à l'un des conjoints, qui devra alors verser une compensation raisonnable à l'autre.</w:t>
      </w:r>
    </w:p>
    <w:p w14:paraId="54BBC1C3"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b/>
          <w:bCs/>
          <w:sz w:val="22"/>
          <w:szCs w:val="22"/>
        </w:rPr>
        <w:t>Article 9 :</w:t>
      </w:r>
      <w:r w:rsidRPr="001B2F11">
        <w:rPr>
          <w:rFonts w:ascii="Calibri Light" w:hAnsi="Calibri Light" w:cs="Calibri Light"/>
          <w:sz w:val="22"/>
          <w:szCs w:val="22"/>
        </w:rPr>
        <w:t> Lorsque l'un des époux transfère des parts dans une société à responsabilité limitée financée par les biens communs du couple mais enregistrée à son propre nom, et que l'autre partie demande la confirmation de la nullité du contrat de transfert de parts au motif qu'il n'a pas été conclu avec son consentement et qu'il porte atteinte aux intérêts dans les biens communs du couple, le tribunal populaire ne doit pas faire droit à cette demande, sauf s'il existe des preuves démontrant que le cédant et le cessionnaire ont agi de manière malveillante pour porter atteinte aux droits légitimes de l'autre partie.</w:t>
      </w:r>
    </w:p>
    <w:p w14:paraId="42052BB5"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b/>
          <w:bCs/>
          <w:sz w:val="22"/>
          <w:szCs w:val="22"/>
        </w:rPr>
        <w:t>Article 10 :</w:t>
      </w:r>
      <w:r w:rsidRPr="001B2F11">
        <w:rPr>
          <w:rFonts w:ascii="Calibri Light" w:hAnsi="Calibri Light" w:cs="Calibri Light"/>
          <w:sz w:val="22"/>
          <w:szCs w:val="22"/>
        </w:rPr>
        <w:t> Lorsque des époux investissent des biens communs dans une société à responsabilité limitée et sont tous deux inscrits comme actionnaires, mais qu'il n'existe aucun accord sur la propriété des actions concernées, ou que l'accord est imprécis, et qu'au moment du divorce l'un des époux demande que le partage des actions soit déterminé proportionnellement aux apports respectifs inscrits au registre des actionnaires ou dans les statuts de la société, le tribunal populaire ne doit pas faire droit à cette demande ; les tribunaux populaires doivent traiter les demandes des parties visant à partager les biens communs du couple conformément à l'article 1087 du Code civil.</w:t>
      </w:r>
    </w:p>
    <w:p w14:paraId="5B6A9EBC"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b/>
          <w:bCs/>
          <w:sz w:val="22"/>
          <w:szCs w:val="22"/>
        </w:rPr>
        <w:lastRenderedPageBreak/>
        <w:t>Article 11 :</w:t>
      </w:r>
      <w:r w:rsidRPr="001B2F11">
        <w:rPr>
          <w:rFonts w:ascii="Calibri Light" w:hAnsi="Calibri Light" w:cs="Calibri Light"/>
          <w:sz w:val="22"/>
          <w:szCs w:val="22"/>
        </w:rPr>
        <w:t> Lorsque l'un des époux fait valoir que la confiscation de l'héritage par l'autre partie est invalide au motif que les biens héréditaires constituent la propriété commune du couple et que la confiscation porte atteinte aux intérêts du couple dans la propriété commune, les tribunaux populaires ne doivent pas faire droit à cette demande, sauf s'il est prouvé que la confiscation de l'héritage empêchera la partie qui la confisque de remplir ses obligations alimentaires légalement prescrites.</w:t>
      </w:r>
    </w:p>
    <w:p w14:paraId="2458864A"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b/>
          <w:bCs/>
          <w:sz w:val="22"/>
          <w:szCs w:val="22"/>
        </w:rPr>
        <w:t>Article 12 :</w:t>
      </w:r>
      <w:r w:rsidRPr="001B2F11">
        <w:rPr>
          <w:rFonts w:ascii="Calibri Light" w:hAnsi="Calibri Light" w:cs="Calibri Light"/>
          <w:sz w:val="22"/>
          <w:szCs w:val="22"/>
        </w:rPr>
        <w:t> Lorsque le père ou la mère, ou une personne telle qu'un proche parent, prend ou cache des enfants mineurs, et que l'autre partie demande au tribunal populaire une ordonnance de protection personnelle, ou demande une injonction contre les atteintes aux droits de la personnalité conformément à l'article 997 du Code civil, le tribunal populaire doit la soutenir.</w:t>
      </w:r>
    </w:p>
    <w:p w14:paraId="73247F40"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sz w:val="22"/>
          <w:szCs w:val="22"/>
        </w:rPr>
        <w:t>Lorsque la partie qui emmène ou cache des enfants mineurs invoque un motif raisonnable, notamment des problèmes tels que des jeux d'argent, la consommation de drogues ou des violences conjugales chez l'autre partie, portant gravement atteinte aux droits et intérêts légitimes des enfants, le tribunal populaire les en informe afin qu'ils règlent la situation par des voies appropriées, comme la révocation de l'autorité parentale, la suspension du droit de visite ou la modification des modalités de garde. Si les parties ne fournissent pas de preuves à l'appui de leurs arguments et ne présentent pas leur demande dans un délai raisonnable, le tribunal populaire statue conformément au paragraphe précédent.</w:t>
      </w:r>
    </w:p>
    <w:p w14:paraId="5A32A732"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b/>
          <w:bCs/>
          <w:sz w:val="22"/>
          <w:szCs w:val="22"/>
        </w:rPr>
        <w:t>Article 13 :</w:t>
      </w:r>
      <w:r w:rsidRPr="001B2F11">
        <w:rPr>
          <w:rFonts w:ascii="Calibri Light" w:hAnsi="Calibri Light" w:cs="Calibri Light"/>
          <w:sz w:val="22"/>
          <w:szCs w:val="22"/>
        </w:rPr>
        <w:t> Lorsque, pendant la période de séparation de fait des époux, l'un d'eux ou des personnes telles que leurs proches parents prennent ou cachent des enfants mineurs, empêchant ainsi l'autre époux d'exercer ses obligations de tutelle, et que l'autre époux demande que l'auteur de ces actes soit tenu civilement responsable, le tribunal populaire peut appliquer les dispositions de l'article 1084 du Code civil relatives à la garde d'enfants après divorce, afin de statuer provisoirement sur la garde des enfants mineurs et de préciser que l'époux qui en a la garde directe provisoire a l'obligation d'assister l'autre époux dans l'exercice de ses obligations de tutelle.</w:t>
      </w:r>
    </w:p>
    <w:p w14:paraId="64450732"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b/>
          <w:bCs/>
          <w:sz w:val="22"/>
          <w:szCs w:val="22"/>
        </w:rPr>
        <w:t>Article 14 : </w:t>
      </w:r>
      <w:r w:rsidRPr="001B2F11">
        <w:rPr>
          <w:rFonts w:ascii="Calibri Light" w:hAnsi="Calibri Light" w:cs="Calibri Light"/>
          <w:sz w:val="22"/>
          <w:szCs w:val="22"/>
        </w:rPr>
        <w:t>Lorsque, lors d'une procédure de divorce, le père et la mère demandent tous deux à être les principaux responsables d'un enfant mineur âgé de deux ans, et que l'une des parties se trouve dans les circonstances suivantes, le tribunal populaire doit suivre le principe de l'intérêt supérieur de l'enfant et examiner en priorité si l'autre partie devrait être le principal responsable :</w:t>
      </w:r>
    </w:p>
    <w:p w14:paraId="473207CB"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sz w:val="22"/>
          <w:szCs w:val="22"/>
        </w:rPr>
        <w:t>(1) Perpétrer des violences domestiques, ou maltraiter ou abandonner des membres de la famille;</w:t>
      </w:r>
    </w:p>
    <w:p w14:paraId="6561CF89"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sz w:val="22"/>
          <w:szCs w:val="22"/>
        </w:rPr>
        <w:t>(2) Avoir de mauvaises habitudes telles que le jeu ou la consommation de drogues ;</w:t>
      </w:r>
    </w:p>
    <w:p w14:paraId="74639DF9"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sz w:val="22"/>
          <w:szCs w:val="22"/>
        </w:rPr>
        <w:t>(3) Bigamie, cohabitation avec une autre personne ou autres violations graves des obligations conjugales de loyauté;</w:t>
      </w:r>
    </w:p>
    <w:p w14:paraId="2CB0462E"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sz w:val="22"/>
          <w:szCs w:val="22"/>
        </w:rPr>
        <w:t>(4) Enlever ou cacher des enfants mineurs lorsque l'autre partie ne dispose pas des circonstances telles que celles décrites aux points (1) ou (2) qui violent gravement les droits et intérêts légitimes des enfants mineurs ;</w:t>
      </w:r>
    </w:p>
    <w:p w14:paraId="01811BC5"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sz w:val="22"/>
          <w:szCs w:val="22"/>
        </w:rPr>
        <w:t>(5) Autres situations qui ne sont pas propices à la santé physique et mentale des enfants mineurs.</w:t>
      </w:r>
    </w:p>
    <w:p w14:paraId="51130BDD"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b/>
          <w:bCs/>
          <w:sz w:val="22"/>
          <w:szCs w:val="22"/>
        </w:rPr>
        <w:t>Article 15 :</w:t>
      </w:r>
      <w:r w:rsidRPr="001B2F11">
        <w:rPr>
          <w:rFonts w:ascii="Calibri Light" w:hAnsi="Calibri Light" w:cs="Calibri Light"/>
          <w:sz w:val="22"/>
          <w:szCs w:val="22"/>
        </w:rPr>
        <w:t> Lorsque les parents, en tant que représentants légaux, disposent d'une maison achetée avec les biens communs du couple et enregistrée au nom des enfants mineurs, et qu'ils prétendent ensuite que les actes civils sont invalides parce qu'ils violent l'article 35 du Code civil en portant atteinte aux intérêts des enfants mineurs, le tribunal populaire ne les soutiendra pas.</w:t>
      </w:r>
    </w:p>
    <w:p w14:paraId="62BAF912"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b/>
          <w:bCs/>
          <w:sz w:val="22"/>
          <w:szCs w:val="22"/>
        </w:rPr>
        <w:lastRenderedPageBreak/>
        <w:t>Article 16 : </w:t>
      </w:r>
      <w:r w:rsidRPr="001B2F11">
        <w:rPr>
          <w:rFonts w:ascii="Calibri Light" w:hAnsi="Calibri Light" w:cs="Calibri Light"/>
          <w:sz w:val="22"/>
          <w:szCs w:val="22"/>
        </w:rPr>
        <w:t>Les dispositions de l’accord de divorce prévoyant la prise en charge directe des enfants mineurs ou des enfants majeurs incapables de vivre de manière autonome par l’un des époux sont juridiquement contraignantes pour les deux parties. Toutefois, si, après le divorce, la situation économique de l’époux ayant la garde directe des enfants se modifie sensiblement, entraînant une baisse notable de son niveau de vie antérieur, ou si les frais raisonnables et nécessaires à l’entretien des enfants (par exemple, pour leurs besoins essentiels, leur éducation ou leurs soins médicaux) augmentent sensiblement, et si les enfants mineurs ou les enfants majeurs incapables de vivre de manière autonome demandent une pension alimentaire, les tribunaux compétents doivent faire droit à cette demande et examiner attentivement différents facteurs, tels que l’accord de divorce dans son ensemble, les besoins réels des enfants, la capacité de l’autre époux à assumer cette charge et le niveau de vie local, afin de déterminer le montant de la pension alimentaire.</w:t>
      </w:r>
    </w:p>
    <w:p w14:paraId="39F22066"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sz w:val="22"/>
          <w:szCs w:val="22"/>
        </w:rPr>
        <w:t>Dans les circonstances prévues au paragraphe précédent, lorsque l'autre partie demande à modifier les relations de garde d'enfants au motif que la partie qui s'occupe directement des enfants n'a pas la capacité, les tribunaux populaires doivent traiter cette question conformément à l'article 1084 du Code civil.</w:t>
      </w:r>
    </w:p>
    <w:p w14:paraId="18D1C25F"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b/>
          <w:bCs/>
          <w:sz w:val="22"/>
          <w:szCs w:val="22"/>
        </w:rPr>
        <w:t>Article 17 :</w:t>
      </w:r>
      <w:r w:rsidRPr="001B2F11">
        <w:rPr>
          <w:rFonts w:ascii="Calibri Light" w:hAnsi="Calibri Light" w:cs="Calibri Light"/>
          <w:sz w:val="22"/>
          <w:szCs w:val="22"/>
        </w:rPr>
        <w:t> Après le divorce, lorsque la partie qui ne s'occupe pas directement des enfants n'a pas versé les pensions alimentaires prévues dans l'accord de divorce ou d'une autre manière, et que les enfants mineurs ou les enfants adultes incapables de subvenir à leurs besoins demandent le remboursement des pensions alimentaires dues, le tribunal populaire doit faire droit à cette demande.</w:t>
      </w:r>
    </w:p>
    <w:p w14:paraId="421A7DC5"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sz w:val="22"/>
          <w:szCs w:val="22"/>
        </w:rPr>
        <w:t>Dans les situations prévues au paragraphe précédent, si les enfants sont déjà adultes et peuvent vivre de manière indépendante, et que le responsable direct demande à l'autre partie de payer les sommes dues, le tribunal populaire doit faire droit à cette demande conformément à la loi.</w:t>
      </w:r>
    </w:p>
    <w:p w14:paraId="0D57BE72"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b/>
          <w:bCs/>
          <w:sz w:val="22"/>
          <w:szCs w:val="22"/>
        </w:rPr>
        <w:t>Article 18 : </w:t>
      </w:r>
      <w:r w:rsidRPr="001B2F11">
        <w:rPr>
          <w:rFonts w:ascii="Calibri Light" w:hAnsi="Calibri Light" w:cs="Calibri Light"/>
          <w:sz w:val="22"/>
          <w:szCs w:val="22"/>
        </w:rPr>
        <w:t>En ce qui concerne les faits relatifs aux beaux-enfants pris en charge et éduqués par un beau-père ou une belle-mère conformément à l'article 1072 du Code civil, les tribunaux populaires doivent prendre une décision en se fondant sur la durée de leur vie commune et en tenant compte de facteurs tels que la prise en charge, l'éducation familiale et la prise en charge des frais d'entretien par le beau-parent pendant la période où ils vivaient ensemble.</w:t>
      </w:r>
    </w:p>
    <w:p w14:paraId="7A31C0A6"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b/>
          <w:bCs/>
          <w:sz w:val="22"/>
          <w:szCs w:val="22"/>
        </w:rPr>
        <w:t>Article 19 :</w:t>
      </w:r>
      <w:r w:rsidRPr="001B2F11">
        <w:rPr>
          <w:rFonts w:ascii="Calibri Light" w:hAnsi="Calibri Light" w:cs="Calibri Light"/>
          <w:sz w:val="22"/>
          <w:szCs w:val="22"/>
        </w:rPr>
        <w:t> Après le divorce du père biologique et de la belle-mère, ou de la mère biologique et du beau-père, lorsqu'une partie soutient que les dispositions du Code civil relatives aux relations parent-enfant ne s'appliquent plus aux droits et obligations entre les beaux-parents et les beaux-enfants, le tribunal populaire doit faire droit à cette demande, sauf si les beaux-parents et les beaux-enfants ont légalement établi une relation d'adoption ou si les beaux-enfants vivent toujours avec le beau-parent.</w:t>
      </w:r>
    </w:p>
    <w:p w14:paraId="61B8AB12"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sz w:val="22"/>
          <w:szCs w:val="22"/>
        </w:rPr>
        <w:t>Après la fin de la relation entre beaux-parents et beaux-enfants, lorsqu'un beau-parent incapable de travailler et sans ressources demande à un beau-fils ou une belle-fille adulte qu'il a autrefois soutenu et éduqué de verser une pension alimentaire, les tribunaux populaires peuvent examiner attentivement des facteurs tels que les circonstances du soutien et de l'éducation, ainsi que la capacité du beau-fils ou de la belle-fille adulte à assumer cette pension, et l'accorder conformément à la loi, sauf dans des circonstances telles que des abus ou un abandon antérieurs du beau-fils ou de la belle-fille par le beau-parent.</w:t>
      </w:r>
    </w:p>
    <w:p w14:paraId="0487BAAB"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b/>
          <w:bCs/>
          <w:sz w:val="22"/>
          <w:szCs w:val="22"/>
        </w:rPr>
        <w:t>Article 20 :</w:t>
      </w:r>
      <w:r w:rsidRPr="001B2F11">
        <w:rPr>
          <w:rFonts w:ascii="Calibri Light" w:hAnsi="Calibri Light" w:cs="Calibri Light"/>
          <w:sz w:val="22"/>
          <w:szCs w:val="22"/>
        </w:rPr>
        <w:t xml:space="preserve"> Lorsque l'accord de divorce prévoit que tout ou partie des biens communs du couple doivent être donnés aux enfants, mais qu'après le divorce, l'une des parties demande la révocation de cette </w:t>
      </w:r>
      <w:r w:rsidRPr="001B2F11">
        <w:rPr>
          <w:rFonts w:ascii="Calibri Light" w:hAnsi="Calibri Light" w:cs="Calibri Light"/>
          <w:sz w:val="22"/>
          <w:szCs w:val="22"/>
        </w:rPr>
        <w:lastRenderedPageBreak/>
        <w:t>disposition avant le transfert des biens, le tribunal populaire ne doit pas l'appuyer, sauf si l'autre partie y consent.</w:t>
      </w:r>
    </w:p>
    <w:p w14:paraId="6610DF87"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sz w:val="22"/>
          <w:szCs w:val="22"/>
        </w:rPr>
        <w:t>Lorsque l'une des parties ne remplit pas les obligations prévues dans l'accord de divorce mentionné au paragraphe précédent, et que l'autre partie demande qu'elle assume la responsabilité civile de continuer à exécuter ses obligations ou qu'elle verse une indemnité si elle est incapable de le faire, le tribunal populaire doit faire droit à cette demande conformément à la loi.</w:t>
      </w:r>
    </w:p>
    <w:p w14:paraId="305C1ABB"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sz w:val="22"/>
          <w:szCs w:val="22"/>
        </w:rPr>
        <w:t>Lorsque les deux parties conviennent clairement dans l'accord de divorce que les enfants peuvent faire valoir directement leurs droits sur les biens prévus au premier paragraphe du présent article, et que l'une des parties ne remplit pas ses obligations prévues dans l'accord de divorce, et que les enfants demandent, par référence à l'article 522, paragraphe 2, du Code civil, que cette partie assume l'obligation civile de continuer à exécuter ses obligations ou de verser une indemnisation pour les pertes subies si elle est incapable de le faire, le tribunal populaire doit faire droit à cette demande conformément à la loi.</w:t>
      </w:r>
    </w:p>
    <w:p w14:paraId="587A45DC"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sz w:val="22"/>
          <w:szCs w:val="22"/>
        </w:rPr>
        <w:t>Lorsque l'accord de divorce attribue tout ou partie des biens communs du couple aux enfants, et qu'après le divorce, l'une des parties apporte la preuve qu'il y a eu des circonstances telles que la fraude ou la contrainte lors de la conclusion de l'accord de divorce, et demande la révocation de celui-ci, le tribunal populaire doit faire droit à sa demande conformément à la loi ; et lorsqu'une partie demande simultanément le partage de cette portion des biens communs du couple, le tribunal populaire doit traiter cette demande conformément à l'article 1087 du Code civil.</w:t>
      </w:r>
    </w:p>
    <w:p w14:paraId="65D6DF2A"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b/>
          <w:bCs/>
          <w:sz w:val="22"/>
          <w:szCs w:val="22"/>
        </w:rPr>
        <w:t>Article 21 :</w:t>
      </w:r>
      <w:r w:rsidRPr="001B2F11">
        <w:rPr>
          <w:rFonts w:ascii="Calibri Light" w:hAnsi="Calibri Light" w:cs="Calibri Light"/>
          <w:sz w:val="22"/>
          <w:szCs w:val="22"/>
        </w:rPr>
        <w:t> Lors d'une procédure de divorce, si l'un des époux apporte la preuve qu'il a assumé davantage de responsabilités pendant la période conjugale, notamment en élevant les enfants, en prenant soin des personnes âgées ou en aidant l'autre partie à travailler, et demande une compensation en vertu de l'article 1088 du Code civil, les tribunaux populaires peuvent examiner attentivement des facteurs tels que le temps et l'énergie consacrés à ces charges, leur impact sur la situation des deux parties, la capacité de paiement de la partie concernée et le revenu disponible local par habitant, afin de déterminer le montant de la compensation.</w:t>
      </w:r>
    </w:p>
    <w:p w14:paraId="7F3C2AB7"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b/>
          <w:bCs/>
          <w:sz w:val="22"/>
          <w:szCs w:val="22"/>
        </w:rPr>
        <w:t>Article 22 :</w:t>
      </w:r>
      <w:r w:rsidRPr="001B2F11">
        <w:rPr>
          <w:rFonts w:ascii="Calibri Light" w:hAnsi="Calibri Light" w:cs="Calibri Light"/>
          <w:sz w:val="22"/>
          <w:szCs w:val="22"/>
        </w:rPr>
        <w:t> Lorsque, au cours d'une procédure de divorce, l'une des parties rencontre des difficultés de la vie telles que l'âge avancé, le handicap ou la maladie, et demande, sur la base de l'article 1090 du Code civil, que l'autre partie capable lui apporte une aide appropriée, les tribunaux populaires peuvent faire droit à cette demande sur la base de la requête de la partie et en tenant compte de la situation financière de l'autre partie.</w:t>
      </w:r>
    </w:p>
    <w:p w14:paraId="423FB43A" w14:textId="77777777" w:rsidR="001B2F11" w:rsidRPr="001B2F11" w:rsidRDefault="001B2F11" w:rsidP="001B2F11">
      <w:pPr>
        <w:jc w:val="both"/>
        <w:rPr>
          <w:rFonts w:ascii="Calibri Light" w:hAnsi="Calibri Light" w:cs="Calibri Light"/>
          <w:sz w:val="22"/>
          <w:szCs w:val="22"/>
        </w:rPr>
      </w:pPr>
      <w:r w:rsidRPr="001B2F11">
        <w:rPr>
          <w:rFonts w:ascii="Calibri Light" w:hAnsi="Calibri Light" w:cs="Calibri Light"/>
          <w:b/>
          <w:bCs/>
          <w:sz w:val="22"/>
          <w:szCs w:val="22"/>
        </w:rPr>
        <w:t>Article 23 :</w:t>
      </w:r>
      <w:r w:rsidRPr="001B2F11">
        <w:rPr>
          <w:rFonts w:ascii="Calibri Light" w:hAnsi="Calibri Light" w:cs="Calibri Light"/>
          <w:sz w:val="22"/>
          <w:szCs w:val="22"/>
        </w:rPr>
        <w:t> La présente interprétation entre en vigueur le 2 février 2025.</w:t>
      </w:r>
    </w:p>
    <w:p w14:paraId="2DA7E697" w14:textId="77777777" w:rsidR="00EB7A1A" w:rsidRPr="001B2F11" w:rsidRDefault="00EB7A1A" w:rsidP="001B2F11">
      <w:pPr>
        <w:jc w:val="both"/>
        <w:rPr>
          <w:rFonts w:ascii="Calibri Light" w:hAnsi="Calibri Light" w:cs="Calibri Light"/>
          <w:sz w:val="22"/>
          <w:szCs w:val="22"/>
        </w:rPr>
      </w:pPr>
    </w:p>
    <w:sectPr w:rsidR="00EB7A1A" w:rsidRPr="001B2F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3871B0"/>
    <w:multiLevelType w:val="hybridMultilevel"/>
    <w:tmpl w:val="F454D9A8"/>
    <w:lvl w:ilvl="0" w:tplc="C172DCE6">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644568A7"/>
    <w:multiLevelType w:val="multilevel"/>
    <w:tmpl w:val="1B0C0942"/>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1800325">
    <w:abstractNumId w:val="0"/>
  </w:num>
  <w:num w:numId="2" w16cid:durableId="12863521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F11"/>
    <w:rsid w:val="001B2F11"/>
    <w:rsid w:val="00363463"/>
    <w:rsid w:val="005E6040"/>
    <w:rsid w:val="00EB7A1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A1ABA"/>
  <w15:chartTrackingRefBased/>
  <w15:docId w15:val="{F8FD7A2F-AAE0-4D1D-9C01-685088CD1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B2F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B2F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B2F1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B2F1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B2F1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B2F1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B2F1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B2F1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B2F1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
    <w:name w:val="A)"/>
    <w:basedOn w:val="Paragraphedeliste"/>
    <w:next w:val="Normal"/>
    <w:link w:val="ACar"/>
    <w:qFormat/>
    <w:rsid w:val="00EB7A1A"/>
    <w:pPr>
      <w:numPr>
        <w:numId w:val="2"/>
      </w:numPr>
      <w:shd w:val="clear" w:color="auto" w:fill="FAE2D5" w:themeFill="accent2" w:themeFillTint="33"/>
      <w:tabs>
        <w:tab w:val="clear" w:pos="720"/>
      </w:tabs>
      <w:spacing w:after="0" w:line="240" w:lineRule="auto"/>
      <w:ind w:hanging="360"/>
      <w:jc w:val="both"/>
    </w:pPr>
    <w:rPr>
      <w:rFonts w:ascii="Garamond" w:hAnsi="Garamond" w:cs="Times New Roman"/>
      <w:b/>
      <w:bCs/>
      <w:szCs w:val="20"/>
      <w:u w:val="single"/>
      <w:lang w:eastAsia="fr-FR"/>
    </w:rPr>
  </w:style>
  <w:style w:type="character" w:customStyle="1" w:styleId="ACar">
    <w:name w:val="A) Car"/>
    <w:basedOn w:val="Policepardfaut"/>
    <w:link w:val="A"/>
    <w:rsid w:val="00EB7A1A"/>
    <w:rPr>
      <w:rFonts w:ascii="Garamond" w:hAnsi="Garamond" w:cs="Times New Roman"/>
      <w:b/>
      <w:bCs/>
      <w:szCs w:val="20"/>
      <w:u w:val="single"/>
      <w:shd w:val="clear" w:color="auto" w:fill="FAE2D5" w:themeFill="accent2" w:themeFillTint="33"/>
      <w:lang w:eastAsia="fr-FR"/>
    </w:rPr>
  </w:style>
  <w:style w:type="paragraph" w:styleId="Paragraphedeliste">
    <w:name w:val="List Paragraph"/>
    <w:basedOn w:val="Normal"/>
    <w:uiPriority w:val="34"/>
    <w:qFormat/>
    <w:rsid w:val="00EB7A1A"/>
    <w:pPr>
      <w:ind w:left="720"/>
      <w:contextualSpacing/>
    </w:pPr>
  </w:style>
  <w:style w:type="character" w:customStyle="1" w:styleId="Titre1Car">
    <w:name w:val="Titre 1 Car"/>
    <w:basedOn w:val="Policepardfaut"/>
    <w:link w:val="Titre1"/>
    <w:uiPriority w:val="9"/>
    <w:rsid w:val="001B2F1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B2F1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B2F1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B2F1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B2F1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B2F1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B2F1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B2F1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B2F11"/>
    <w:rPr>
      <w:rFonts w:eastAsiaTheme="majorEastAsia" w:cstheme="majorBidi"/>
      <w:color w:val="272727" w:themeColor="text1" w:themeTint="D8"/>
    </w:rPr>
  </w:style>
  <w:style w:type="paragraph" w:styleId="Titre">
    <w:name w:val="Title"/>
    <w:basedOn w:val="Normal"/>
    <w:next w:val="Normal"/>
    <w:link w:val="TitreCar"/>
    <w:uiPriority w:val="10"/>
    <w:qFormat/>
    <w:rsid w:val="001B2F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B2F1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B2F1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B2F1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B2F11"/>
    <w:pPr>
      <w:spacing w:before="160"/>
      <w:jc w:val="center"/>
    </w:pPr>
    <w:rPr>
      <w:i/>
      <w:iCs/>
      <w:color w:val="404040" w:themeColor="text1" w:themeTint="BF"/>
    </w:rPr>
  </w:style>
  <w:style w:type="character" w:customStyle="1" w:styleId="CitationCar">
    <w:name w:val="Citation Car"/>
    <w:basedOn w:val="Policepardfaut"/>
    <w:link w:val="Citation"/>
    <w:uiPriority w:val="29"/>
    <w:rsid w:val="001B2F11"/>
    <w:rPr>
      <w:i/>
      <w:iCs/>
      <w:color w:val="404040" w:themeColor="text1" w:themeTint="BF"/>
    </w:rPr>
  </w:style>
  <w:style w:type="character" w:styleId="Accentuationintense">
    <w:name w:val="Intense Emphasis"/>
    <w:basedOn w:val="Policepardfaut"/>
    <w:uiPriority w:val="21"/>
    <w:qFormat/>
    <w:rsid w:val="001B2F11"/>
    <w:rPr>
      <w:i/>
      <w:iCs/>
      <w:color w:val="0F4761" w:themeColor="accent1" w:themeShade="BF"/>
    </w:rPr>
  </w:style>
  <w:style w:type="paragraph" w:styleId="Citationintense">
    <w:name w:val="Intense Quote"/>
    <w:basedOn w:val="Normal"/>
    <w:next w:val="Normal"/>
    <w:link w:val="CitationintenseCar"/>
    <w:uiPriority w:val="30"/>
    <w:qFormat/>
    <w:rsid w:val="001B2F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B2F11"/>
    <w:rPr>
      <w:i/>
      <w:iCs/>
      <w:color w:val="0F4761" w:themeColor="accent1" w:themeShade="BF"/>
    </w:rPr>
  </w:style>
  <w:style w:type="character" w:styleId="Rfrenceintense">
    <w:name w:val="Intense Reference"/>
    <w:basedOn w:val="Policepardfaut"/>
    <w:uiPriority w:val="32"/>
    <w:qFormat/>
    <w:rsid w:val="001B2F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3564</Words>
  <Characters>17395</Characters>
  <Application>Microsoft Office Word</Application>
  <DocSecurity>0</DocSecurity>
  <Lines>497</Lines>
  <Paragraphs>279</Paragraphs>
  <ScaleCrop>false</ScaleCrop>
  <Company/>
  <LinksUpToDate>false</LinksUpToDate>
  <CharactersWithSpaces>20680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de LARDEMELLE</dc:creator>
  <cp:keywords/>
  <dc:description/>
  <cp:lastModifiedBy>Marie de LARDEMELLE</cp:lastModifiedBy>
  <cp:revision>1</cp:revision>
  <cp:lastPrinted>2026-02-24T14:34:00Z</cp:lastPrinted>
  <dcterms:created xsi:type="dcterms:W3CDTF">2026-02-24T14:28:00Z</dcterms:created>
  <dcterms:modified xsi:type="dcterms:W3CDTF">2026-02-24T14:38:00Z</dcterms:modified>
</cp:coreProperties>
</file>